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3F4A0">
      <w:pPr>
        <w:jc w:val="left"/>
        <w:rPr>
          <w:rFonts w:hint="eastAsia"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</w:rPr>
        <w:t>重庆工商大学高等教育自学考试</w:t>
      </w:r>
    </w:p>
    <w:p w14:paraId="72AC5F03">
      <w:pPr>
        <w:jc w:val="center"/>
        <w:rPr>
          <w:rFonts w:hint="eastAsia"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会展经济与管理专业</w:t>
      </w:r>
    </w:p>
    <w:p w14:paraId="59C5DB78">
      <w:pPr>
        <w:jc w:val="center"/>
        <w:outlineLvl w:val="0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会展客户关系管理（实践）</w:t>
      </w:r>
      <w:r>
        <w:rPr>
          <w:rFonts w:ascii="楷体" w:hAnsi="楷体" w:eastAsia="楷体" w:cs="楷体"/>
          <w:b/>
          <w:bCs/>
          <w:w w:val="90"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 xml:space="preserve">课程代码：08726 </w:t>
      </w:r>
    </w:p>
    <w:p w14:paraId="168166D5">
      <w:pPr>
        <w:spacing w:line="360" w:lineRule="auto"/>
        <w:jc w:val="center"/>
        <w:outlineLvl w:val="0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会展客户关系管理调查报告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（考生填写）</w:t>
      </w:r>
    </w:p>
    <w:p w14:paraId="7D52C3DB">
      <w:pPr>
        <w:spacing w:line="360" w:lineRule="auto"/>
        <w:jc w:val="center"/>
        <w:outlineLvl w:val="0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</w:p>
    <w:tbl>
      <w:tblPr>
        <w:tblStyle w:val="5"/>
        <w:tblW w:w="9512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1260"/>
        <w:gridCol w:w="1263"/>
        <w:gridCol w:w="1799"/>
        <w:gridCol w:w="900"/>
        <w:gridCol w:w="2520"/>
      </w:tblGrid>
      <w:tr w14:paraId="7863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770" w:type="dxa"/>
          </w:tcPr>
          <w:p w14:paraId="6B309786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260" w:type="dxa"/>
          </w:tcPr>
          <w:p w14:paraId="4231F05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263" w:type="dxa"/>
          </w:tcPr>
          <w:p w14:paraId="10DDC21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准考证号</w:t>
            </w:r>
          </w:p>
        </w:tc>
        <w:tc>
          <w:tcPr>
            <w:tcW w:w="1799" w:type="dxa"/>
          </w:tcPr>
          <w:p w14:paraId="266B1A89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00" w:type="dxa"/>
          </w:tcPr>
          <w:p w14:paraId="75E5C61E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2520" w:type="dxa"/>
          </w:tcPr>
          <w:p w14:paraId="0AEE70A0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会展经济与管理</w:t>
            </w:r>
          </w:p>
        </w:tc>
      </w:tr>
      <w:tr w14:paraId="5946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770" w:type="dxa"/>
            <w:vAlign w:val="center"/>
          </w:tcPr>
          <w:p w14:paraId="18ED98E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调查报告名称</w:t>
            </w:r>
          </w:p>
        </w:tc>
        <w:tc>
          <w:tcPr>
            <w:tcW w:w="7742" w:type="dxa"/>
            <w:gridSpan w:val="5"/>
            <w:vAlign w:val="center"/>
          </w:tcPr>
          <w:p w14:paraId="6E0F3A91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</w:tbl>
    <w:p w14:paraId="0A76D95A">
      <w:pPr>
        <w:spacing w:line="360" w:lineRule="auto"/>
        <w:jc w:val="left"/>
        <w:rPr>
          <w:rFonts w:hint="eastAsia" w:ascii="宋体" w:hAnsi="宋体" w:eastAsia="宋体" w:cs="宋体"/>
          <w:b/>
          <w:bCs/>
        </w:rPr>
      </w:pPr>
    </w:p>
    <w:p w14:paraId="3EA19C6C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</w:rPr>
        <w:t>引言</w:t>
      </w:r>
      <w:r>
        <w:rPr>
          <w:rFonts w:hint="eastAsia" w:ascii="宋体" w:hAnsi="宋体" w:eastAsia="宋体" w:cs="宋体"/>
          <w:sz w:val="24"/>
        </w:rPr>
        <w:t>（约300字，简述会展行业发展现状及客户关系管理对会展主体的重要性；明确调查目的，介绍调查对象基本信息。）</w:t>
      </w:r>
    </w:p>
    <w:p w14:paraId="02A1C847">
      <w:pPr>
        <w:spacing w:line="360" w:lineRule="auto"/>
        <w:jc w:val="left"/>
        <w:rPr>
          <w:rFonts w:hint="eastAsia" w:ascii="宋体" w:hAnsi="宋体" w:eastAsia="宋体" w:cs="宋体"/>
        </w:rPr>
      </w:pPr>
    </w:p>
    <w:p w14:paraId="42A58FC9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4"/>
        </w:rPr>
        <w:t>调查设计与实施</w:t>
      </w:r>
      <w:r>
        <w:rPr>
          <w:rFonts w:hint="eastAsia" w:ascii="宋体" w:hAnsi="宋体" w:eastAsia="宋体" w:cs="宋体"/>
          <w:sz w:val="24"/>
        </w:rPr>
        <w:t>（约500字，说明调查周期、调查方法及实施细节。）</w:t>
      </w:r>
    </w:p>
    <w:p w14:paraId="5687643C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1226F711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</w:rPr>
        <w:t>客户关系管理现状梳理</w:t>
      </w:r>
      <w:r>
        <w:rPr>
          <w:rFonts w:hint="eastAsia" w:ascii="宋体" w:hAnsi="宋体" w:eastAsia="宋体" w:cs="宋体"/>
          <w:sz w:val="24"/>
        </w:rPr>
        <w:t>（约600字，结合教材理论，梳理客户建立、维护、测评、生命周期等核心措施，提炼其客户关系管理亮点。）</w:t>
      </w:r>
    </w:p>
    <w:p w14:paraId="327BAE3D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505613B9">
      <w:pPr>
        <w:spacing w:line="360" w:lineRule="auto"/>
        <w:jc w:val="left"/>
        <w:outlineLvl w:val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24"/>
        </w:rPr>
        <w:t>问题诊断与核心能力评估</w:t>
      </w:r>
      <w:r>
        <w:rPr>
          <w:rFonts w:hint="eastAsia" w:ascii="宋体" w:hAnsi="宋体" w:eastAsia="宋体" w:cs="宋体"/>
          <w:sz w:val="24"/>
        </w:rPr>
        <w:t>（约800字，分析会展行业客户关系管理共性痛点与调查对象个性问题；评估三大能力：客户建立与维护能力；满意度/忠诚度测评能力；客户生命周期管理能力。）</w:t>
      </w:r>
    </w:p>
    <w:p w14:paraId="7A415651">
      <w:pPr>
        <w:spacing w:line="360" w:lineRule="auto"/>
        <w:jc w:val="left"/>
        <w:outlineLvl w:val="0"/>
        <w:rPr>
          <w:rFonts w:hint="eastAsia" w:ascii="宋体" w:hAnsi="宋体" w:eastAsia="宋体" w:cs="宋体"/>
          <w:sz w:val="24"/>
        </w:rPr>
      </w:pPr>
    </w:p>
    <w:p w14:paraId="723A9B90">
      <w:pPr>
        <w:spacing w:line="360" w:lineRule="auto"/>
        <w:jc w:val="left"/>
        <w:outlineLvl w:val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24"/>
        </w:rPr>
        <w:t>优化建议</w:t>
      </w:r>
      <w:r>
        <w:rPr>
          <w:rFonts w:hint="eastAsia" w:ascii="宋体" w:hAnsi="宋体" w:eastAsia="宋体" w:cs="宋体"/>
          <w:sz w:val="24"/>
        </w:rPr>
        <w:t>（约500字，针对存在问题，结合原因，提出优化建议。）</w:t>
      </w:r>
    </w:p>
    <w:p w14:paraId="0F88AE97">
      <w:pPr>
        <w:spacing w:line="360" w:lineRule="auto"/>
        <w:jc w:val="left"/>
        <w:outlineLvl w:val="0"/>
        <w:rPr>
          <w:rFonts w:hint="eastAsia" w:ascii="宋体" w:hAnsi="宋体" w:eastAsia="宋体" w:cs="宋体"/>
          <w:sz w:val="24"/>
        </w:rPr>
      </w:pPr>
    </w:p>
    <w:p w14:paraId="4D6EE4A3">
      <w:pPr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6.</w:t>
      </w:r>
      <w:r>
        <w:rPr>
          <w:rFonts w:hint="eastAsia" w:ascii="宋体" w:hAnsi="宋体" w:eastAsia="宋体" w:cs="宋体"/>
          <w:b/>
          <w:bCs/>
          <w:sz w:val="24"/>
        </w:rPr>
        <w:t>结论</w:t>
      </w:r>
      <w:r>
        <w:rPr>
          <w:rFonts w:hint="eastAsia" w:ascii="宋体" w:hAnsi="宋体" w:eastAsia="宋体" w:cs="宋体"/>
          <w:sz w:val="24"/>
        </w:rPr>
        <w:t>（约300字，对整个调查工作进行归纳和综合，概括调查成果。）</w:t>
      </w:r>
    </w:p>
    <w:p w14:paraId="32462ED6">
      <w:pPr>
        <w:jc w:val="left"/>
        <w:outlineLvl w:val="0"/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准考证号-考生姓名-调查报告”（例如：“010220240011-张三-调查报告”）。</w:t>
      </w:r>
    </w:p>
    <w:p w14:paraId="3158E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2" w:firstLineChars="200"/>
        <w:jc w:val="left"/>
        <w:textAlignment w:val="auto"/>
        <w:rPr>
          <w:rFonts w:hint="eastAsia" w:ascii="楷体" w:hAnsi="楷体" w:eastAsia="楷体" w:cs="楷体"/>
          <w:b/>
          <w:bCs/>
          <w:sz w:val="24"/>
        </w:rPr>
        <w:sectPr>
          <w:footerReference r:id="rId3" w:type="default"/>
          <w:pgSz w:w="11906" w:h="16838"/>
          <w:pgMar w:top="1191" w:right="1797" w:bottom="873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5F62497B">
      <w:pPr>
        <w:jc w:val="left"/>
        <w:outlineLvl w:val="0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 xml:space="preserve">课程名称：会展客户关系管理（实践）     课程代码：08726 </w:t>
      </w:r>
    </w:p>
    <w:p w14:paraId="58A9E1AD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《</w:t>
      </w:r>
      <w:r>
        <w:rPr>
          <w:rFonts w:hint="eastAsia" w:ascii="楷体" w:hAnsi="楷体" w:eastAsia="楷体" w:cs="楷体"/>
          <w:b/>
          <w:bCs/>
          <w:sz w:val="44"/>
          <w:szCs w:val="44"/>
        </w:rPr>
        <w:t>会展客户关系管理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》</w:t>
      </w:r>
      <w:r>
        <w:rPr>
          <w:rFonts w:hint="eastAsia" w:ascii="楷体" w:hAnsi="楷体" w:eastAsia="楷体" w:cs="楷体"/>
          <w:b/>
          <w:bCs/>
          <w:sz w:val="44"/>
          <w:szCs w:val="44"/>
        </w:rPr>
        <w:t>调查报告评价表</w:t>
      </w:r>
    </w:p>
    <w:p w14:paraId="08439C91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5465"/>
        <w:gridCol w:w="445"/>
        <w:gridCol w:w="426"/>
        <w:gridCol w:w="433"/>
        <w:gridCol w:w="411"/>
      </w:tblGrid>
      <w:tr w14:paraId="7005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789" w:type="pct"/>
            <w:vMerge w:val="restart"/>
            <w:vAlign w:val="center"/>
          </w:tcPr>
          <w:p w14:paraId="24DA1DAD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bookmarkStart w:id="0" w:name="OLE_LINK1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评价维度</w:t>
            </w:r>
          </w:p>
        </w:tc>
        <w:tc>
          <w:tcPr>
            <w:tcW w:w="3205" w:type="pct"/>
            <w:vMerge w:val="restart"/>
            <w:vAlign w:val="center"/>
          </w:tcPr>
          <w:p w14:paraId="5EB135C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评价要点</w:t>
            </w:r>
          </w:p>
        </w:tc>
        <w:tc>
          <w:tcPr>
            <w:tcW w:w="1006" w:type="pct"/>
            <w:gridSpan w:val="4"/>
            <w:vAlign w:val="center"/>
          </w:tcPr>
          <w:p w14:paraId="4F68515B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评价等级</w:t>
            </w:r>
          </w:p>
        </w:tc>
      </w:tr>
      <w:tr w14:paraId="2C4C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89" w:type="pct"/>
            <w:vMerge w:val="continue"/>
            <w:vAlign w:val="center"/>
          </w:tcPr>
          <w:p w14:paraId="2ED0E3E2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3205" w:type="pct"/>
            <w:vMerge w:val="continue"/>
            <w:vAlign w:val="center"/>
          </w:tcPr>
          <w:p w14:paraId="1EC317DD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261" w:type="pct"/>
            <w:vAlign w:val="center"/>
          </w:tcPr>
          <w:p w14:paraId="3D774D0E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ascii="楷体" w:hAnsi="楷体" w:eastAsia="楷体" w:cs="楷体"/>
                <w:b/>
                <w:bCs/>
                <w:sz w:val="24"/>
              </w:rPr>
              <w:t>A</w:t>
            </w:r>
          </w:p>
        </w:tc>
        <w:tc>
          <w:tcPr>
            <w:tcW w:w="250" w:type="pct"/>
            <w:vAlign w:val="center"/>
          </w:tcPr>
          <w:p w14:paraId="24D3EEC6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ascii="楷体" w:hAnsi="楷体" w:eastAsia="楷体" w:cs="楷体"/>
                <w:b/>
                <w:bCs/>
                <w:sz w:val="24"/>
              </w:rPr>
              <w:t>B</w:t>
            </w:r>
          </w:p>
        </w:tc>
        <w:tc>
          <w:tcPr>
            <w:tcW w:w="254" w:type="pct"/>
            <w:vAlign w:val="center"/>
          </w:tcPr>
          <w:p w14:paraId="717BEFDA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ascii="楷体" w:hAnsi="楷体" w:eastAsia="楷体" w:cs="楷体"/>
                <w:b/>
                <w:bCs/>
                <w:sz w:val="24"/>
              </w:rPr>
              <w:t>C</w:t>
            </w:r>
          </w:p>
        </w:tc>
        <w:tc>
          <w:tcPr>
            <w:tcW w:w="241" w:type="pct"/>
            <w:vAlign w:val="center"/>
          </w:tcPr>
          <w:p w14:paraId="3AAD7ACD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ascii="楷体" w:hAnsi="楷体" w:eastAsia="楷体" w:cs="楷体"/>
                <w:b/>
                <w:bCs/>
                <w:sz w:val="24"/>
              </w:rPr>
              <w:t>D</w:t>
            </w:r>
          </w:p>
        </w:tc>
      </w:tr>
      <w:tr w14:paraId="361F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9" w:type="pct"/>
            <w:vMerge w:val="restart"/>
            <w:vAlign w:val="center"/>
          </w:tcPr>
          <w:p w14:paraId="2AB77877">
            <w:pPr>
              <w:spacing w:line="240" w:lineRule="atLeas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调查与分析能力（30%）</w:t>
            </w:r>
          </w:p>
        </w:tc>
        <w:tc>
          <w:tcPr>
            <w:tcW w:w="3205" w:type="pct"/>
            <w:vMerge w:val="restart"/>
          </w:tcPr>
          <w:p w14:paraId="07C56702">
            <w:pPr>
              <w:spacing w:line="360" w:lineRule="auto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1. 调查对象与方法选择</w:t>
            </w:r>
          </w:p>
          <w:p w14:paraId="04F77BB4">
            <w:pPr>
              <w:spacing w:line="360" w:lineRule="auto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ascii="楷体" w:hAnsi="楷体" w:eastAsia="楷体" w:cs="楷体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现状与问题分析深度</w:t>
            </w:r>
          </w:p>
          <w:p w14:paraId="27EA2B76">
            <w:pPr>
              <w:spacing w:line="360" w:lineRule="auto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ascii="楷体" w:hAnsi="楷体" w:eastAsia="楷体" w:cs="楷体"/>
                <w:color w:val="000000"/>
                <w:sz w:val="24"/>
              </w:rPr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客户管理核心能力体现</w:t>
            </w:r>
          </w:p>
        </w:tc>
        <w:tc>
          <w:tcPr>
            <w:tcW w:w="261" w:type="pct"/>
          </w:tcPr>
          <w:p w14:paraId="5D9210DA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479D63DF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7C0D3255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2150DC4B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1185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9" w:type="pct"/>
            <w:vMerge w:val="continue"/>
            <w:vAlign w:val="center"/>
          </w:tcPr>
          <w:p w14:paraId="0306CCFB">
            <w:pPr>
              <w:spacing w:line="240" w:lineRule="atLeast"/>
            </w:pPr>
          </w:p>
        </w:tc>
        <w:tc>
          <w:tcPr>
            <w:tcW w:w="3205" w:type="pct"/>
            <w:vMerge w:val="continue"/>
          </w:tcPr>
          <w:p w14:paraId="36F273B4">
            <w:pPr>
              <w:spacing w:line="360" w:lineRule="auto"/>
            </w:pPr>
          </w:p>
        </w:tc>
        <w:tc>
          <w:tcPr>
            <w:tcW w:w="261" w:type="pct"/>
          </w:tcPr>
          <w:p w14:paraId="0E4D94EA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51569B4A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02904E43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751714C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16D5F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789" w:type="pct"/>
            <w:vMerge w:val="continue"/>
            <w:vAlign w:val="center"/>
          </w:tcPr>
          <w:p w14:paraId="4616E08E">
            <w:pPr>
              <w:spacing w:line="240" w:lineRule="atLeast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3205" w:type="pct"/>
            <w:vMerge w:val="continue"/>
          </w:tcPr>
          <w:p w14:paraId="76B1719D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61" w:type="pct"/>
          </w:tcPr>
          <w:p w14:paraId="10607F8F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610A5D9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65B5AFD0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0626BAB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277A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89" w:type="pct"/>
            <w:vMerge w:val="restart"/>
            <w:vAlign w:val="center"/>
          </w:tcPr>
          <w:p w14:paraId="13865FDB">
            <w:pPr>
              <w:spacing w:line="240" w:lineRule="atLeast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报告撰写质量（30%）</w:t>
            </w:r>
          </w:p>
        </w:tc>
        <w:tc>
          <w:tcPr>
            <w:tcW w:w="3205" w:type="pct"/>
            <w:vMerge w:val="restart"/>
          </w:tcPr>
          <w:p w14:paraId="2518142D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>观点与论据</w:t>
            </w:r>
          </w:p>
          <w:p w14:paraId="27CABDFE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>结构与文字</w:t>
            </w:r>
          </w:p>
          <w:p w14:paraId="2396C6D3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楷体" w:hAnsi="楷体" w:eastAsia="楷体" w:cs="楷体"/>
                <w:sz w:val="24"/>
              </w:rPr>
              <w:t>格式与字数</w:t>
            </w:r>
          </w:p>
        </w:tc>
        <w:tc>
          <w:tcPr>
            <w:tcW w:w="261" w:type="pct"/>
          </w:tcPr>
          <w:p w14:paraId="6A565841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0D849A05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33157494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5926258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5A9B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89" w:type="pct"/>
            <w:vMerge w:val="continue"/>
            <w:vAlign w:val="center"/>
          </w:tcPr>
          <w:p w14:paraId="2E5BB76E">
            <w:pPr>
              <w:spacing w:line="360" w:lineRule="auto"/>
            </w:pPr>
          </w:p>
        </w:tc>
        <w:tc>
          <w:tcPr>
            <w:tcW w:w="3205" w:type="pct"/>
            <w:vMerge w:val="continue"/>
          </w:tcPr>
          <w:p w14:paraId="0F98CD35">
            <w:pPr>
              <w:spacing w:line="360" w:lineRule="auto"/>
            </w:pPr>
          </w:p>
        </w:tc>
        <w:tc>
          <w:tcPr>
            <w:tcW w:w="261" w:type="pct"/>
          </w:tcPr>
          <w:p w14:paraId="7405205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03B6FC15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1DF16DF3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5213BF38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57BE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789" w:type="pct"/>
            <w:vMerge w:val="continue"/>
            <w:vAlign w:val="center"/>
          </w:tcPr>
          <w:p w14:paraId="214F450E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3205" w:type="pct"/>
            <w:vMerge w:val="continue"/>
          </w:tcPr>
          <w:p w14:paraId="7918FC47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61" w:type="pct"/>
          </w:tcPr>
          <w:p w14:paraId="4E9339F6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01236A1D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46AA828C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165F0E8D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2EA4A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9" w:type="pct"/>
            <w:vMerge w:val="restart"/>
            <w:vAlign w:val="center"/>
          </w:tcPr>
          <w:p w14:paraId="0272B15A">
            <w:pPr>
              <w:spacing w:line="240" w:lineRule="atLeast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创新与针对性（25%）</w:t>
            </w:r>
          </w:p>
        </w:tc>
        <w:tc>
          <w:tcPr>
            <w:tcW w:w="3205" w:type="pct"/>
            <w:vMerge w:val="restart"/>
          </w:tcPr>
          <w:p w14:paraId="050A8E7C">
            <w:pPr>
              <w:spacing w:line="360" w:lineRule="auto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ascii="楷体" w:hAnsi="楷体" w:eastAsia="楷体" w:cs="楷体"/>
                <w:color w:val="000000"/>
                <w:sz w:val="24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针对性（问题与建议）</w:t>
            </w:r>
          </w:p>
          <w:p w14:paraId="7D8BC486">
            <w:pPr>
              <w:spacing w:line="360" w:lineRule="auto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ascii="楷体" w:hAnsi="楷体" w:eastAsia="楷体" w:cs="楷体"/>
                <w:color w:val="000000"/>
                <w:sz w:val="24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创新性（优化思路）</w:t>
            </w:r>
          </w:p>
        </w:tc>
        <w:tc>
          <w:tcPr>
            <w:tcW w:w="261" w:type="pct"/>
          </w:tcPr>
          <w:p w14:paraId="75FF528B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5F0EA717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502CFC4A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68D7820A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3A84B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89" w:type="pct"/>
            <w:vMerge w:val="continue"/>
            <w:vAlign w:val="center"/>
          </w:tcPr>
          <w:p w14:paraId="7EA86D5C">
            <w:pPr>
              <w:spacing w:line="360" w:lineRule="auto"/>
            </w:pPr>
          </w:p>
        </w:tc>
        <w:tc>
          <w:tcPr>
            <w:tcW w:w="3205" w:type="pct"/>
            <w:vMerge w:val="continue"/>
          </w:tcPr>
          <w:p w14:paraId="1E78719D">
            <w:pPr>
              <w:spacing w:line="360" w:lineRule="auto"/>
            </w:pPr>
          </w:p>
        </w:tc>
        <w:tc>
          <w:tcPr>
            <w:tcW w:w="261" w:type="pct"/>
          </w:tcPr>
          <w:p w14:paraId="0DAB4C03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7F8FB680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47593B2B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453FC566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5B63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9" w:type="pct"/>
            <w:vMerge w:val="restart"/>
            <w:vAlign w:val="center"/>
          </w:tcPr>
          <w:p w14:paraId="67A461D2">
            <w:pPr>
              <w:spacing w:line="240" w:lineRule="atLeast"/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职业素养体现（15%）</w:t>
            </w:r>
          </w:p>
        </w:tc>
        <w:tc>
          <w:tcPr>
            <w:tcW w:w="3205" w:type="pct"/>
            <w:vMerge w:val="restart"/>
          </w:tcPr>
          <w:p w14:paraId="0981ACF0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1. 资料真实性与严谨性</w:t>
            </w:r>
          </w:p>
          <w:p w14:paraId="2849AC47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2. 职业规范性与时效性</w:t>
            </w:r>
          </w:p>
        </w:tc>
        <w:tc>
          <w:tcPr>
            <w:tcW w:w="261" w:type="pct"/>
          </w:tcPr>
          <w:p w14:paraId="2D62E45B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45DF3240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1E97AE20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3BFFB22E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508C9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9" w:type="pct"/>
            <w:vMerge w:val="continue"/>
            <w:vAlign w:val="center"/>
          </w:tcPr>
          <w:p w14:paraId="0DF9CE8E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3205" w:type="pct"/>
            <w:vMerge w:val="continue"/>
          </w:tcPr>
          <w:p w14:paraId="4375DD33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61" w:type="pct"/>
          </w:tcPr>
          <w:p w14:paraId="1BB3CF8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0" w:type="pct"/>
          </w:tcPr>
          <w:p w14:paraId="5C2D84B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4" w:type="pct"/>
          </w:tcPr>
          <w:p w14:paraId="594991C2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41" w:type="pct"/>
          </w:tcPr>
          <w:p w14:paraId="7669B689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0E018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5000" w:type="pct"/>
            <w:gridSpan w:val="6"/>
            <w:vAlign w:val="center"/>
          </w:tcPr>
          <w:p w14:paraId="5D6F8C9D">
            <w:pPr>
              <w:spacing w:line="360" w:lineRule="auto"/>
              <w:ind w:right="960"/>
              <w:jc w:val="right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  <w:p w14:paraId="092BA853">
            <w:pPr>
              <w:spacing w:line="360" w:lineRule="auto"/>
              <w:ind w:right="960"/>
              <w:jc w:val="right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  <w:p w14:paraId="586AA324">
            <w:pPr>
              <w:spacing w:line="360" w:lineRule="auto"/>
              <w:ind w:right="960"/>
              <w:jc w:val="right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整体评价（百分制）：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5C58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5000" w:type="pct"/>
            <w:gridSpan w:val="6"/>
            <w:vAlign w:val="center"/>
          </w:tcPr>
          <w:p w14:paraId="7717B684">
            <w:pPr>
              <w:spacing w:line="360" w:lineRule="auto"/>
              <w:ind w:right="964"/>
              <w:jc w:val="left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  <w:p w14:paraId="4F16E04C">
            <w:pPr>
              <w:spacing w:line="360" w:lineRule="auto"/>
              <w:ind w:right="964"/>
              <w:jc w:val="left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评阅</w:t>
            </w:r>
            <w:bookmarkStart w:id="1" w:name="_GoBack"/>
            <w:bookmarkEnd w:id="1"/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7FB4F641">
            <w:pPr>
              <w:spacing w:line="360" w:lineRule="auto"/>
              <w:ind w:right="964"/>
              <w:jc w:val="right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月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日</w:t>
            </w:r>
          </w:p>
        </w:tc>
      </w:tr>
      <w:bookmarkEnd w:id="0"/>
    </w:tbl>
    <w:p w14:paraId="3936096F">
      <w:pPr>
        <w:spacing w:line="360" w:lineRule="auto"/>
        <w:rPr>
          <w:rFonts w:hint="eastAsia" w:ascii="楷体" w:hAnsi="楷体" w:eastAsia="楷体" w:cs="楷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24"/>
        </w:rPr>
        <w:t>评价标准说明：</w:t>
      </w:r>
    </w:p>
    <w:p w14:paraId="0454258F">
      <w:pPr>
        <w:spacing w:line="360" w:lineRule="auto"/>
        <w:ind w:firstLine="480" w:firstLineChars="200"/>
      </w:pPr>
      <w:r>
        <w:rPr>
          <w:rFonts w:hint="eastAsia" w:ascii="楷体" w:hAnsi="楷体" w:eastAsia="楷体" w:cs="楷体"/>
          <w:sz w:val="24"/>
        </w:rPr>
        <w:t>A级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90-100分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完全实现；B级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80-89分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基本实现；C级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60-79分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  <w:lang w:val="en-US" w:eastAsia="zh-CN"/>
        </w:rPr>
        <w:t>部分</w:t>
      </w:r>
      <w:r>
        <w:rPr>
          <w:rFonts w:hint="eastAsia" w:ascii="楷体" w:hAnsi="楷体" w:eastAsia="楷体" w:cs="楷体"/>
          <w:sz w:val="24"/>
        </w:rPr>
        <w:t>实现；D级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60分以下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完全未实现。</w:t>
      </w:r>
    </w:p>
    <w:sectPr>
      <w:footerReference r:id="rId4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F9A7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252FFE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B252FFE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E4B87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AB6D8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2AB6D8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QwZWQ2ZWIwMTRjNGUwN2EzZThlMDRjMTAxZjc5YzMifQ=="/>
  </w:docVars>
  <w:rsids>
    <w:rsidRoot w:val="718E157A"/>
    <w:rsid w:val="000157B2"/>
    <w:rsid w:val="000561D6"/>
    <w:rsid w:val="000713F6"/>
    <w:rsid w:val="00071F63"/>
    <w:rsid w:val="000932C7"/>
    <w:rsid w:val="00103C5B"/>
    <w:rsid w:val="00113AD2"/>
    <w:rsid w:val="001147F1"/>
    <w:rsid w:val="00134632"/>
    <w:rsid w:val="00151AC2"/>
    <w:rsid w:val="00174BED"/>
    <w:rsid w:val="00174D48"/>
    <w:rsid w:val="001860CD"/>
    <w:rsid w:val="00213ABF"/>
    <w:rsid w:val="00213AE3"/>
    <w:rsid w:val="0021637A"/>
    <w:rsid w:val="00234A5B"/>
    <w:rsid w:val="00242013"/>
    <w:rsid w:val="00274DC3"/>
    <w:rsid w:val="002A4981"/>
    <w:rsid w:val="00303090"/>
    <w:rsid w:val="00341146"/>
    <w:rsid w:val="00372FC4"/>
    <w:rsid w:val="00375F89"/>
    <w:rsid w:val="003B6348"/>
    <w:rsid w:val="003D53C8"/>
    <w:rsid w:val="003F366C"/>
    <w:rsid w:val="00415B58"/>
    <w:rsid w:val="00426BEB"/>
    <w:rsid w:val="00464812"/>
    <w:rsid w:val="00466498"/>
    <w:rsid w:val="004B3879"/>
    <w:rsid w:val="004E10CC"/>
    <w:rsid w:val="004F72C7"/>
    <w:rsid w:val="005200F7"/>
    <w:rsid w:val="00537687"/>
    <w:rsid w:val="00541FC8"/>
    <w:rsid w:val="00565C08"/>
    <w:rsid w:val="00585C43"/>
    <w:rsid w:val="006672E2"/>
    <w:rsid w:val="00685489"/>
    <w:rsid w:val="006F28E3"/>
    <w:rsid w:val="0071508E"/>
    <w:rsid w:val="00724CAF"/>
    <w:rsid w:val="00775BBD"/>
    <w:rsid w:val="0078131C"/>
    <w:rsid w:val="007823E8"/>
    <w:rsid w:val="007B539C"/>
    <w:rsid w:val="00842B2D"/>
    <w:rsid w:val="00863D54"/>
    <w:rsid w:val="00864176"/>
    <w:rsid w:val="00864AD7"/>
    <w:rsid w:val="00872A50"/>
    <w:rsid w:val="00876426"/>
    <w:rsid w:val="00882560"/>
    <w:rsid w:val="0089414F"/>
    <w:rsid w:val="008A2503"/>
    <w:rsid w:val="00916C6F"/>
    <w:rsid w:val="0093330D"/>
    <w:rsid w:val="00943E91"/>
    <w:rsid w:val="00967923"/>
    <w:rsid w:val="0099583B"/>
    <w:rsid w:val="009A3ADB"/>
    <w:rsid w:val="009E471B"/>
    <w:rsid w:val="00A234E7"/>
    <w:rsid w:val="00A808D3"/>
    <w:rsid w:val="00AB693A"/>
    <w:rsid w:val="00B0203A"/>
    <w:rsid w:val="00B06D12"/>
    <w:rsid w:val="00B10896"/>
    <w:rsid w:val="00B157EE"/>
    <w:rsid w:val="00B2080E"/>
    <w:rsid w:val="00B34556"/>
    <w:rsid w:val="00B41D6F"/>
    <w:rsid w:val="00B458AF"/>
    <w:rsid w:val="00BA3A3B"/>
    <w:rsid w:val="00BC2159"/>
    <w:rsid w:val="00BE04D3"/>
    <w:rsid w:val="00BE3467"/>
    <w:rsid w:val="00BE58F4"/>
    <w:rsid w:val="00C26E01"/>
    <w:rsid w:val="00C32CE0"/>
    <w:rsid w:val="00C35BDD"/>
    <w:rsid w:val="00C41E7C"/>
    <w:rsid w:val="00C45AC2"/>
    <w:rsid w:val="00C537D6"/>
    <w:rsid w:val="00C76D76"/>
    <w:rsid w:val="00CA6146"/>
    <w:rsid w:val="00CB3ED3"/>
    <w:rsid w:val="00CE36A7"/>
    <w:rsid w:val="00D12D5F"/>
    <w:rsid w:val="00D13C4E"/>
    <w:rsid w:val="00D16EFE"/>
    <w:rsid w:val="00D32D01"/>
    <w:rsid w:val="00D476A1"/>
    <w:rsid w:val="00D610FB"/>
    <w:rsid w:val="00D61C68"/>
    <w:rsid w:val="00D7706B"/>
    <w:rsid w:val="00DD28DD"/>
    <w:rsid w:val="00DE08E0"/>
    <w:rsid w:val="00DE4001"/>
    <w:rsid w:val="00E368CE"/>
    <w:rsid w:val="00E66EE2"/>
    <w:rsid w:val="00E95CBF"/>
    <w:rsid w:val="00EF0A52"/>
    <w:rsid w:val="00F3713C"/>
    <w:rsid w:val="00F51D86"/>
    <w:rsid w:val="00F7662E"/>
    <w:rsid w:val="00FA071F"/>
    <w:rsid w:val="2112611C"/>
    <w:rsid w:val="242F7169"/>
    <w:rsid w:val="2AAC4620"/>
    <w:rsid w:val="2B1C1F7E"/>
    <w:rsid w:val="2C610F0C"/>
    <w:rsid w:val="2E7320B9"/>
    <w:rsid w:val="3AC562F3"/>
    <w:rsid w:val="3FED18EF"/>
    <w:rsid w:val="419B04AA"/>
    <w:rsid w:val="428B4030"/>
    <w:rsid w:val="46B87F12"/>
    <w:rsid w:val="49751488"/>
    <w:rsid w:val="4EB84954"/>
    <w:rsid w:val="5F6847A5"/>
    <w:rsid w:val="630C27DF"/>
    <w:rsid w:val="6AD840DE"/>
    <w:rsid w:val="6D5A1276"/>
    <w:rsid w:val="6ED15D17"/>
    <w:rsid w:val="70E711DF"/>
    <w:rsid w:val="718E157A"/>
    <w:rsid w:val="7746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9"/>
    <w:autoRedefine/>
    <w:semiHidden/>
    <w:qFormat/>
    <w:uiPriority w:val="99"/>
    <w:pPr>
      <w:shd w:val="clear" w:color="auto" w:fill="000080"/>
    </w:pPr>
  </w:style>
  <w:style w:type="paragraph" w:styleId="3">
    <w:name w:val="footer"/>
    <w:basedOn w:val="1"/>
    <w:link w:val="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页脚 字符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字符"/>
    <w:basedOn w:val="6"/>
    <w:link w:val="4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文档结构图 字符"/>
    <w:basedOn w:val="6"/>
    <w:link w:val="2"/>
    <w:autoRedefine/>
    <w:semiHidden/>
    <w:qFormat/>
    <w:locked/>
    <w:uiPriority w:val="99"/>
    <w:rPr>
      <w:rFonts w:ascii="Times New Roman" w:hAnsi="Times New Roman" w:cs="Times New Roman"/>
      <w:sz w:val="2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935</Words>
  <Characters>1049</Characters>
  <Lines>5</Lines>
  <Paragraphs>1</Paragraphs>
  <TotalTime>0</TotalTime>
  <ScaleCrop>false</ScaleCrop>
  <LinksUpToDate>false</LinksUpToDate>
  <CharactersWithSpaces>1087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2025-09-27T10:06:00Z</dcterms:created>
  <dc:creator>罗吉</dc:creator>
  <cp:lastModifiedBy>Shine</cp:lastModifiedBy>
  <dcterms:modified xsi:type="dcterms:W3CDTF">2026-06-02T01:07:33Z</dcterms:modified>
  <dc:title>西南大学高等教育自学考试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5EA78388BED94D2DAD7C3789C6C22471_13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