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06" w:hRule="atLeast"/>
          <w:jc w:val="center"/>
        </w:trPr>
        <w:tc>
          <w:tcPr>
            <w:tcW w:w="4988" w:type="pct"/>
          </w:tcPr>
          <w:p>
            <w:pPr>
              <w:snapToGrid w:val="0"/>
              <w:spacing w:line="360" w:lineRule="auto"/>
              <w:ind w:firstLine="560" w:firstLineChars="200"/>
              <w:jc w:val="left"/>
              <w:rPr>
                <w:rFonts w:ascii="仿宋_GB2312" w:hAnsi="仿宋_GB2312" w:eastAsia="仿宋_GB2312" w:cs="仿宋_GB2312"/>
                <w:sz w:val="28"/>
                <w:szCs w:val="28"/>
                <w:lang w:val="en-US"/>
              </w:rPr>
            </w:pPr>
          </w:p>
          <w:p>
            <w:pPr>
              <w:snapToGrid w:val="0"/>
              <w:spacing w:line="360" w:lineRule="auto"/>
              <w:ind w:firstLine="560" w:firstLineChars="200"/>
              <w:jc w:val="left"/>
              <w:rPr>
                <w:rFonts w:ascii="仿宋_GB2312" w:hAnsi="仿宋_GB2312" w:eastAsia="仿宋_GB2312" w:cs="仿宋_GB2312"/>
                <w:sz w:val="28"/>
                <w:szCs w:val="28"/>
                <w:lang w:val="en-US"/>
              </w:rPr>
            </w:pPr>
          </w:p>
          <w:p>
            <w:pPr>
              <w:snapToGrid w:val="0"/>
              <w:spacing w:line="360" w:lineRule="auto"/>
              <w:ind w:firstLine="560" w:firstLineChars="200"/>
              <w:jc w:val="center"/>
              <w:rPr>
                <w:rFonts w:ascii="仿宋_GB2312" w:hAnsi="仿宋_GB2312" w:eastAsia="仿宋_GB2312" w:cs="仿宋_GB2312"/>
                <w:b/>
                <w:bCs/>
                <w:sz w:val="28"/>
                <w:szCs w:val="28"/>
              </w:rPr>
            </w:pPr>
            <w:r>
              <w:rPr>
                <w:rFonts w:ascii="仿宋_GB2312" w:hAnsi="仿宋_GB2312" w:eastAsia="仿宋_GB2312" w:cs="仿宋_GB2312"/>
                <w:sz w:val="28"/>
                <w:szCs w:val="28"/>
                <w:lang w:val="en-US"/>
              </w:rPr>
              <w:br w:type="page"/>
            </w:r>
            <w:r>
              <w:rPr>
                <w:rFonts w:ascii="仿宋_GB2312" w:hAnsi="仿宋_GB2312" w:eastAsia="仿宋_GB2312" w:cs="仿宋_GB2312"/>
                <w:sz w:val="28"/>
                <w:szCs w:val="28"/>
                <w:lang w:val="en-US"/>
              </w:rPr>
              <w:br w:type="page"/>
            </w:r>
          </w:p>
          <w:p>
            <w:pPr>
              <w:pStyle w:val="2"/>
              <w:autoSpaceDE w:val="0"/>
              <w:autoSpaceDN w:val="0"/>
              <w:jc w:val="center"/>
              <w:rPr>
                <w:rFonts w:hint="eastAsia" w:eastAsia="黑体"/>
              </w:rPr>
            </w:pPr>
            <w:r>
              <w:rPr>
                <w:rFonts w:hint="eastAsia" w:eastAsia="黑体"/>
              </w:rPr>
              <w:t>高等教育自学考试</w:t>
            </w:r>
          </w:p>
          <w:p>
            <w:pPr>
              <w:pStyle w:val="2"/>
              <w:autoSpaceDE w:val="0"/>
              <w:autoSpaceDN w:val="0"/>
              <w:jc w:val="center"/>
              <w:rPr>
                <w:rFonts w:hint="eastAsia" w:eastAsia="黑体"/>
              </w:rPr>
            </w:pPr>
            <w:r>
              <w:rPr>
                <w:rFonts w:hint="eastAsia" w:eastAsia="黑体"/>
              </w:rPr>
              <w:t>法律事务（专科）专业考试计划</w:t>
            </w:r>
          </w:p>
          <w:p>
            <w:pPr>
              <w:snapToGrid w:val="0"/>
              <w:spacing w:line="360" w:lineRule="auto"/>
              <w:ind w:firstLine="560" w:firstLineChars="200"/>
              <w:jc w:val="center"/>
              <w:rPr>
                <w:rFonts w:ascii="仿宋_GB2312" w:hAnsi="仿宋_GB2312" w:eastAsia="仿宋_GB2312" w:cs="仿宋_GB2312"/>
                <w:sz w:val="28"/>
                <w:szCs w:val="28"/>
              </w:rPr>
            </w:pPr>
          </w:p>
          <w:p>
            <w:pPr>
              <w:pStyle w:val="4"/>
              <w:jc w:val="center"/>
              <w:rPr>
                <w:rFonts w:ascii="仿宋_GB2312" w:hAnsi="仿宋_GB2312" w:eastAsia="仿宋_GB2312" w:cs="仿宋_GB2312"/>
                <w:sz w:val="28"/>
                <w:szCs w:val="28"/>
              </w:rPr>
            </w:pPr>
          </w:p>
          <w:p>
            <w:pPr>
              <w:pStyle w:val="4"/>
              <w:jc w:val="center"/>
              <w:rPr>
                <w:rFonts w:ascii="仿宋_GB2312" w:hAnsi="仿宋_GB2312" w:eastAsia="仿宋_GB2312" w:cs="仿宋_GB2312"/>
                <w:sz w:val="28"/>
                <w:szCs w:val="28"/>
              </w:rPr>
            </w:pPr>
          </w:p>
          <w:p>
            <w:pPr>
              <w:pStyle w:val="4"/>
              <w:jc w:val="center"/>
              <w:rPr>
                <w:rFonts w:ascii="仿宋_GB2312" w:hAnsi="仿宋_GB2312" w:eastAsia="仿宋_GB2312" w:cs="仿宋_GB2312"/>
                <w:sz w:val="28"/>
                <w:szCs w:val="28"/>
              </w:rPr>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w:t>
            </w:r>
            <w:r>
              <w:rPr>
                <w:rFonts w:hint="eastAsia" w:ascii="方正仿宋_GBK" w:hAnsi="方正仿宋_GBK" w:eastAsia="黑体" w:cs="方正仿宋_GBK"/>
                <w:kern w:val="0"/>
                <w:sz w:val="36"/>
                <w:szCs w:val="22"/>
                <w:lang w:val="en-US"/>
              </w:rPr>
              <w:t>四川</w:t>
            </w:r>
            <w:r>
              <w:rPr>
                <w:rFonts w:hint="eastAsia" w:ascii="方正仿宋_GBK" w:hAnsi="方正仿宋_GBK" w:eastAsia="黑体" w:cs="方正仿宋_GBK"/>
                <w:kern w:val="0"/>
                <w:sz w:val="36"/>
                <w:szCs w:val="22"/>
                <w:lang w:val="zh-CN"/>
              </w:rPr>
              <w:t>大学</w:t>
            </w:r>
          </w:p>
          <w:p>
            <w:pPr>
              <w:snapToGrid w:val="0"/>
              <w:spacing w:line="360" w:lineRule="auto"/>
              <w:ind w:firstLine="560" w:firstLineChars="200"/>
              <w:jc w:val="center"/>
              <w:rPr>
                <w:rFonts w:ascii="仿宋_GB2312" w:hAnsi="仿宋_GB2312" w:eastAsia="仿宋_GB2312" w:cs="仿宋_GB2312"/>
                <w:sz w:val="28"/>
                <w:szCs w:val="28"/>
              </w:rPr>
            </w:pPr>
          </w:p>
          <w:p>
            <w:pPr>
              <w:snapToGrid w:val="0"/>
              <w:spacing w:line="360" w:lineRule="auto"/>
              <w:ind w:firstLine="560" w:firstLineChars="200"/>
              <w:jc w:val="center"/>
              <w:rPr>
                <w:rFonts w:ascii="仿宋_GB2312" w:hAnsi="仿宋_GB2312" w:eastAsia="仿宋_GB2312" w:cs="仿宋_GB2312"/>
                <w:sz w:val="28"/>
                <w:szCs w:val="28"/>
              </w:rPr>
            </w:pPr>
          </w:p>
          <w:p>
            <w:pPr>
              <w:pStyle w:val="4"/>
              <w:jc w:val="center"/>
              <w:rPr>
                <w:rFonts w:ascii="仿宋_GB2312" w:hAnsi="仿宋_GB2312" w:eastAsia="仿宋_GB2312" w:cs="仿宋_GB2312"/>
                <w:sz w:val="28"/>
                <w:szCs w:val="28"/>
              </w:rPr>
            </w:pPr>
          </w:p>
          <w:p>
            <w:pPr>
              <w:pStyle w:val="4"/>
              <w:jc w:val="center"/>
              <w:rPr>
                <w:rFonts w:ascii="仿宋_GB2312" w:hAnsi="仿宋_GB2312" w:eastAsia="仿宋_GB2312" w:cs="仿宋_GB2312"/>
                <w:sz w:val="28"/>
                <w:szCs w:val="28"/>
              </w:rPr>
            </w:pPr>
          </w:p>
          <w:p>
            <w:pPr>
              <w:pStyle w:val="4"/>
              <w:jc w:val="center"/>
              <w:rPr>
                <w:rFonts w:ascii="仿宋_GB2312" w:hAnsi="仿宋_GB2312" w:eastAsia="仿宋_GB2312" w:cs="仿宋_GB2312"/>
                <w:sz w:val="28"/>
                <w:szCs w:val="28"/>
              </w:rPr>
            </w:pPr>
          </w:p>
          <w:p>
            <w:pPr>
              <w:snapToGrid w:val="0"/>
              <w:spacing w:line="360" w:lineRule="auto"/>
              <w:ind w:firstLine="562" w:firstLineChars="200"/>
              <w:jc w:val="center"/>
              <w:rPr>
                <w:rFonts w:ascii="仿宋_GB2312" w:hAnsi="仿宋_GB2312" w:eastAsia="仿宋_GB2312" w:cs="仿宋_GB2312"/>
                <w:b/>
                <w:bCs/>
                <w:sz w:val="28"/>
                <w:szCs w:val="28"/>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en-US"/>
              </w:rPr>
              <w:t>2023</w:t>
            </w:r>
            <w:r>
              <w:rPr>
                <w:rFonts w:hint="eastAsia" w:eastAsia="黑体" w:cs="方正仿宋_GBK"/>
                <w:kern w:val="0"/>
                <w:szCs w:val="22"/>
                <w:lang w:val="zh-CN"/>
              </w:rPr>
              <w:t>年</w:t>
            </w:r>
            <w:r>
              <w:rPr>
                <w:rFonts w:hint="eastAsia" w:eastAsia="黑体" w:cs="方正仿宋_GBK"/>
                <w:kern w:val="0"/>
                <w:szCs w:val="22"/>
                <w:lang w:val="en-US"/>
              </w:rPr>
              <w:t>10</w:t>
            </w:r>
            <w:r>
              <w:rPr>
                <w:rFonts w:hint="eastAsia" w:eastAsia="黑体" w:cs="方正仿宋_GBK"/>
                <w:kern w:val="0"/>
                <w:szCs w:val="22"/>
                <w:lang w:val="zh-CN"/>
              </w:rPr>
              <w:t>月制定</w:t>
            </w:r>
          </w:p>
          <w:p>
            <w:pPr>
              <w:snapToGrid w:val="0"/>
              <w:spacing w:line="360" w:lineRule="auto"/>
              <w:ind w:firstLine="562" w:firstLineChars="200"/>
              <w:jc w:val="left"/>
              <w:rPr>
                <w:rFonts w:ascii="仿宋_GB2312" w:hAnsi="仿宋_GB2312" w:eastAsia="仿宋_GB2312" w:cs="仿宋_GB2312"/>
                <w:b/>
                <w:bCs/>
                <w:sz w:val="28"/>
                <w:szCs w:val="2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06" w:hRule="atLeast"/>
          <w:jc w:val="center"/>
        </w:trPr>
        <w:tc>
          <w:tcPr>
            <w:tcW w:w="4988" w:type="pct"/>
          </w:tcPr>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rPr>
              <w:t>一、</w:t>
            </w:r>
            <w:r>
              <w:rPr>
                <w:rFonts w:hint="eastAsia" w:ascii="仿宋_GB2312" w:hAnsi="仿宋_GB2312" w:eastAsia="仿宋_GB2312" w:cs="仿宋_GB2312"/>
                <w:b/>
                <w:sz w:val="28"/>
                <w:szCs w:val="28"/>
              </w:rPr>
              <w:t>指导思想</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以习近平新时代中国特色社会主义思想为指导，落实立德树人根本任务，细化落实《高等教育自学考试专业设置实施细则》要求，加快推进新时代高等教育自学考试培养标准体系建设，在培养考生基本知识、基本理论和基本能力的基础上，结合高等教育自学考试的特点，着重考核考生对专业基础知识的掌握，以及运用所学知识分析、解决实际问题的能力。</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二、学历层次及规格</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法律事务（专科）为专科层次，在总体上与全日制普通高等学校相同或相近专业专科水平相一致。本专业共</w:t>
            </w:r>
            <w:r>
              <w:rPr>
                <w:rFonts w:ascii="仿宋_GB2312" w:hAnsi="仿宋_GB2312" w:eastAsia="仿宋_GB2312" w:cs="仿宋_GB2312"/>
                <w:bCs/>
                <w:sz w:val="28"/>
                <w:szCs w:val="28"/>
              </w:rPr>
              <w:t>15</w:t>
            </w:r>
            <w:r>
              <w:rPr>
                <w:rFonts w:hint="eastAsia" w:ascii="仿宋_GB2312" w:hAnsi="仿宋_GB2312" w:eastAsia="仿宋_GB2312" w:cs="仿宋_GB2312"/>
                <w:bCs/>
                <w:sz w:val="28"/>
                <w:szCs w:val="28"/>
              </w:rPr>
              <w:t>门课程（不含毕业考核），总学分</w:t>
            </w:r>
            <w:r>
              <w:rPr>
                <w:rFonts w:ascii="仿宋_GB2312" w:hAnsi="仿宋_GB2312" w:eastAsia="仿宋_GB2312" w:cs="仿宋_GB2312"/>
                <w:bCs/>
                <w:sz w:val="28"/>
                <w:szCs w:val="28"/>
              </w:rPr>
              <w:t>70</w:t>
            </w:r>
            <w:r>
              <w:rPr>
                <w:rFonts w:hint="eastAsia" w:ascii="仿宋_GB2312" w:hAnsi="仿宋_GB2312" w:eastAsia="仿宋_GB2312" w:cs="仿宋_GB2312"/>
                <w:bCs/>
                <w:sz w:val="28"/>
                <w:szCs w:val="28"/>
              </w:rPr>
              <w:t>分。课程按百分制计分，</w:t>
            </w:r>
            <w:r>
              <w:rPr>
                <w:rFonts w:ascii="仿宋_GB2312" w:hAnsi="仿宋_GB2312" w:eastAsia="仿宋_GB2312" w:cs="仿宋_GB2312"/>
                <w:bCs/>
                <w:sz w:val="28"/>
                <w:szCs w:val="28"/>
              </w:rPr>
              <w:t>60</w:t>
            </w:r>
            <w:r>
              <w:rPr>
                <w:rFonts w:hint="eastAsia" w:ascii="仿宋_GB2312" w:hAnsi="仿宋_GB2312" w:eastAsia="仿宋_GB2312" w:cs="仿宋_GB2312"/>
                <w:bCs/>
                <w:sz w:val="28"/>
                <w:szCs w:val="28"/>
              </w:rPr>
              <w:t>分为合格，每门课程考试成绩合格者，可获得本课程的相应学分。凡按照本专业考试计划规定，取得所有考试课程及实践环节考核合格，思想品德经鉴定合格者，经本人申请，由四川省高等教育自学考试委员会颁发主考学校副署的专科毕业证书，国家承认学历。</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三、培养目标与基本要求</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培养目标：本专业培养理想信念坚定，德、智、体、美、劳全面发展，具有一定的科学文化水平，良好的人文素养、职业道德和创新意识，精益求精的工匠精神，较强的职业能力和可持续发展的能力，具有良好的法律意识和法律职业素养，掌握基本法律理论知识和法律辅助专业知识，具备分析和解决基层常见法律事务问题的能力，能够从事基层法律服务、基层法务管理等工作的高素质技术技能人才。</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培养要求：本专业要求初步掌握法学基本理论和基本知识，掌握以法律思维与手段处理法律问题的基本能力，具备从事基层法律事务的实践技能。主要包括：</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1.</w:t>
            </w:r>
            <w:r>
              <w:rPr>
                <w:rFonts w:hint="eastAsia" w:ascii="仿宋_GB2312" w:hAnsi="仿宋_GB2312" w:eastAsia="仿宋_GB2312" w:cs="仿宋_GB2312"/>
                <w:bCs/>
                <w:sz w:val="28"/>
                <w:szCs w:val="28"/>
              </w:rPr>
              <w:t>初步掌握法理、宪法、民法、刑法、诉讼法等法学学科的基本理论、基本知识；</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2.</w:t>
            </w:r>
            <w:r>
              <w:rPr>
                <w:rFonts w:hint="eastAsia" w:ascii="仿宋_GB2312" w:hAnsi="仿宋_GB2312" w:eastAsia="仿宋_GB2312" w:cs="仿宋_GB2312"/>
                <w:bCs/>
                <w:sz w:val="28"/>
                <w:szCs w:val="28"/>
              </w:rPr>
              <w:t>具备对于常见法律问题的分析与解答能力；</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3.</w:t>
            </w:r>
            <w:r>
              <w:rPr>
                <w:rFonts w:hint="eastAsia" w:ascii="仿宋_GB2312" w:hAnsi="仿宋_GB2312" w:eastAsia="仿宋_GB2312" w:cs="仿宋_GB2312"/>
                <w:bCs/>
                <w:sz w:val="28"/>
                <w:szCs w:val="28"/>
              </w:rPr>
              <w:t>具备从事基层法律工作必要的沟通及组织协调能力；</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4.</w:t>
            </w:r>
            <w:r>
              <w:rPr>
                <w:rFonts w:hint="eastAsia" w:ascii="仿宋_GB2312" w:hAnsi="仿宋_GB2312" w:eastAsia="仿宋_GB2312" w:cs="仿宋_GB2312"/>
                <w:bCs/>
                <w:sz w:val="28"/>
                <w:szCs w:val="28"/>
              </w:rPr>
              <w:t>具备企业法务、法律援助以及常用法律文书规范写作的基本能力；</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5.</w:t>
            </w:r>
            <w:r>
              <w:rPr>
                <w:rFonts w:hint="eastAsia" w:ascii="仿宋_GB2312" w:hAnsi="仿宋_GB2312" w:eastAsia="仿宋_GB2312" w:cs="仿宋_GB2312"/>
                <w:bCs/>
                <w:sz w:val="28"/>
                <w:szCs w:val="28"/>
              </w:rPr>
              <w:t>掌握有关民事或刑事案件处理的基本政策和流程；</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bCs/>
                <w:sz w:val="28"/>
                <w:szCs w:val="28"/>
              </w:rPr>
              <w:t>6.</w:t>
            </w:r>
            <w:r>
              <w:rPr>
                <w:rFonts w:hint="eastAsia" w:ascii="仿宋_GB2312" w:hAnsi="仿宋_GB2312" w:eastAsia="仿宋_GB2312" w:cs="仿宋_GB2312"/>
                <w:bCs/>
                <w:sz w:val="28"/>
                <w:szCs w:val="28"/>
              </w:rPr>
              <w:t>具备法制宣传、法律咨询等各种社会活动的团队协作能力。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98" w:hRule="atLeast"/>
          <w:jc w:val="center"/>
        </w:trPr>
        <w:tc>
          <w:tcPr>
            <w:tcW w:w="4988" w:type="pct"/>
          </w:tcPr>
          <w:p>
            <w:pPr>
              <w:spacing w:before="240"/>
              <w:ind w:firstLine="562" w:firstLineChars="200"/>
              <w:jc w:val="both"/>
              <w:rPr>
                <w:rFonts w:ascii="仿宋" w:hAnsi="仿宋" w:eastAsia="仿宋" w:cs="仿宋"/>
                <w:b/>
                <w:bCs/>
                <w:sz w:val="28"/>
                <w:szCs w:val="28"/>
              </w:rPr>
            </w:pPr>
            <w:r>
              <w:rPr>
                <w:rFonts w:hint="eastAsia" w:ascii="仿宋" w:hAnsi="仿宋" w:eastAsia="仿宋" w:cs="仿宋"/>
                <w:b/>
                <w:bCs/>
                <w:sz w:val="28"/>
                <w:szCs w:val="28"/>
              </w:rPr>
              <w:t>四、课程设置与学分</w:t>
            </w:r>
          </w:p>
          <w:p>
            <w:pPr>
              <w:adjustRightInd w:val="0"/>
              <w:snapToGrid w:val="0"/>
              <w:spacing w:line="400" w:lineRule="exact"/>
              <w:ind w:firstLine="562" w:firstLineChars="200"/>
              <w:jc w:val="both"/>
              <w:rPr>
                <w:rFonts w:ascii="仿宋" w:hAnsi="仿宋" w:eastAsia="仿宋" w:cs="仿宋"/>
                <w:b/>
                <w:bCs/>
                <w:sz w:val="28"/>
                <w:szCs w:val="28"/>
              </w:rPr>
            </w:pPr>
            <w:r>
              <w:rPr>
                <w:rFonts w:hint="eastAsia" w:ascii="仿宋" w:hAnsi="仿宋" w:eastAsia="仿宋" w:cs="仿宋"/>
                <w:b/>
                <w:bCs/>
                <w:sz w:val="28"/>
                <w:szCs w:val="28"/>
              </w:rPr>
              <w:t>专业代码：</w:t>
            </w:r>
            <w:r>
              <w:rPr>
                <w:rFonts w:ascii="仿宋" w:hAnsi="仿宋" w:eastAsia="仿宋" w:cs="仿宋"/>
                <w:b/>
                <w:bCs/>
                <w:sz w:val="28"/>
                <w:szCs w:val="28"/>
              </w:rPr>
              <w:t>680503</w:t>
            </w:r>
          </w:p>
          <w:tbl>
            <w:tblPr>
              <w:tblStyle w:val="5"/>
              <w:tblW w:w="4993"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1089"/>
              <w:gridCol w:w="1209"/>
              <w:gridCol w:w="1141"/>
              <w:gridCol w:w="2486"/>
              <w:gridCol w:w="1106"/>
              <w:gridCol w:w="1141"/>
              <w:gridCol w:w="124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55" w:hRule="exact"/>
                <w:jc w:val="center"/>
              </w:trPr>
              <w:tc>
                <w:tcPr>
                  <w:tcW w:w="578"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hint="eastAsia" w:ascii="仿宋" w:hAnsi="仿宋" w:eastAsia="仿宋" w:cs="仿宋"/>
                      <w:sz w:val="24"/>
                      <w:szCs w:val="24"/>
                    </w:rPr>
                    <w:t>课程类别</w:t>
                  </w:r>
                </w:p>
              </w:tc>
              <w:tc>
                <w:tcPr>
                  <w:tcW w:w="642"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hint="eastAsia" w:ascii="仿宋" w:hAnsi="仿宋" w:eastAsia="仿宋" w:cs="仿宋"/>
                      <w:sz w:val="24"/>
                      <w:szCs w:val="24"/>
                    </w:rPr>
                    <w:t>序号</w:t>
                  </w:r>
                </w:p>
              </w:tc>
              <w:tc>
                <w:tcPr>
                  <w:tcW w:w="606"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hint="eastAsia" w:ascii="仿宋" w:hAnsi="仿宋" w:eastAsia="仿宋" w:cs="仿宋"/>
                      <w:sz w:val="24"/>
                      <w:szCs w:val="24"/>
                    </w:rPr>
                    <w:t>课程</w:t>
                  </w:r>
                </w:p>
                <w:p>
                  <w:pPr>
                    <w:rPr>
                      <w:rFonts w:ascii="仿宋" w:hAnsi="仿宋" w:eastAsia="仿宋" w:cs="仿宋"/>
                      <w:sz w:val="24"/>
                      <w:szCs w:val="24"/>
                    </w:rPr>
                  </w:pPr>
                  <w:r>
                    <w:rPr>
                      <w:rFonts w:hint="eastAsia" w:ascii="仿宋" w:hAnsi="仿宋" w:eastAsia="仿宋" w:cs="仿宋"/>
                      <w:sz w:val="24"/>
                      <w:szCs w:val="24"/>
                    </w:rPr>
                    <w:t>代码</w:t>
                  </w:r>
                </w:p>
              </w:tc>
              <w:tc>
                <w:tcPr>
                  <w:tcW w:w="1319"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hint="eastAsia" w:ascii="仿宋" w:hAnsi="仿宋" w:eastAsia="仿宋" w:cs="仿宋"/>
                      <w:sz w:val="24"/>
                      <w:szCs w:val="24"/>
                    </w:rPr>
                    <w:t>课程名称</w:t>
                  </w:r>
                </w:p>
              </w:tc>
              <w:tc>
                <w:tcPr>
                  <w:tcW w:w="587"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hint="eastAsia" w:ascii="仿宋" w:hAnsi="仿宋" w:eastAsia="仿宋" w:cs="仿宋"/>
                      <w:sz w:val="24"/>
                      <w:szCs w:val="24"/>
                    </w:rPr>
                    <w:t>学分</w:t>
                  </w:r>
                </w:p>
              </w:tc>
              <w:tc>
                <w:tcPr>
                  <w:tcW w:w="606" w:type="pct"/>
                  <w:tcBorders>
                    <w:top w:val="single" w:color="000000" w:sz="2" w:space="0"/>
                    <w:left w:val="single" w:color="000000" w:sz="2" w:space="0"/>
                    <w:bottom w:val="single" w:color="000000" w:sz="2" w:space="0"/>
                    <w:right w:val="single" w:color="000000" w:sz="2" w:space="0"/>
                  </w:tcBorders>
                </w:tcPr>
                <w:p>
                  <w:pPr>
                    <w:rPr>
                      <w:rFonts w:ascii="仿宋" w:hAnsi="仿宋" w:eastAsia="仿宋" w:cs="仿宋"/>
                      <w:sz w:val="24"/>
                      <w:szCs w:val="24"/>
                    </w:rPr>
                  </w:pPr>
                  <w:r>
                    <w:rPr>
                      <w:rFonts w:hint="eastAsia" w:ascii="仿宋" w:hAnsi="仿宋" w:eastAsia="仿宋" w:cs="仿宋"/>
                      <w:sz w:val="24"/>
                      <w:szCs w:val="24"/>
                    </w:rPr>
                    <w:t>考试</w:t>
                  </w:r>
                </w:p>
                <w:p>
                  <w:pPr>
                    <w:rPr>
                      <w:rFonts w:ascii="仿宋" w:hAnsi="仿宋" w:eastAsia="仿宋" w:cs="仿宋"/>
                      <w:sz w:val="24"/>
                      <w:szCs w:val="24"/>
                    </w:rPr>
                  </w:pPr>
                  <w:r>
                    <w:rPr>
                      <w:rFonts w:hint="eastAsia" w:ascii="仿宋" w:hAnsi="仿宋" w:eastAsia="仿宋" w:cs="仿宋"/>
                      <w:sz w:val="24"/>
                      <w:szCs w:val="24"/>
                    </w:rPr>
                    <w:t>方式</w:t>
                  </w:r>
                </w:p>
              </w:tc>
              <w:tc>
                <w:tcPr>
                  <w:tcW w:w="659"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hint="eastAsia" w:ascii="仿宋" w:hAnsi="仿宋" w:eastAsia="仿宋" w:cs="仿宋"/>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80" w:hRule="exact"/>
                <w:jc w:val="center"/>
              </w:trPr>
              <w:tc>
                <w:tcPr>
                  <w:tcW w:w="578" w:type="pct"/>
                  <w:vMerge w:val="restar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hint="eastAsia" w:ascii="仿宋" w:hAnsi="仿宋" w:eastAsia="仿宋" w:cs="仿宋"/>
                      <w:sz w:val="24"/>
                      <w:szCs w:val="24"/>
                    </w:rPr>
                    <w:t>公</w:t>
                  </w:r>
                </w:p>
                <w:p>
                  <w:pPr>
                    <w:rPr>
                      <w:rFonts w:ascii="仿宋" w:hAnsi="仿宋" w:eastAsia="仿宋" w:cs="仿宋"/>
                      <w:sz w:val="24"/>
                      <w:szCs w:val="24"/>
                    </w:rPr>
                  </w:pPr>
                  <w:r>
                    <w:rPr>
                      <w:rFonts w:hint="eastAsia" w:ascii="仿宋" w:hAnsi="仿宋" w:eastAsia="仿宋" w:cs="仿宋"/>
                      <w:sz w:val="24"/>
                      <w:szCs w:val="24"/>
                    </w:rPr>
                    <w:t>共</w:t>
                  </w:r>
                </w:p>
                <w:p>
                  <w:pPr>
                    <w:rPr>
                      <w:rFonts w:ascii="仿宋" w:hAnsi="仿宋" w:eastAsia="仿宋" w:cs="仿宋"/>
                      <w:sz w:val="24"/>
                      <w:szCs w:val="24"/>
                    </w:rPr>
                  </w:pPr>
                  <w:r>
                    <w:rPr>
                      <w:rFonts w:hint="eastAsia" w:ascii="仿宋" w:hAnsi="仿宋" w:eastAsia="仿宋" w:cs="仿宋"/>
                      <w:sz w:val="24"/>
                      <w:szCs w:val="24"/>
                    </w:rPr>
                    <w:t>基</w:t>
                  </w:r>
                </w:p>
                <w:p>
                  <w:pPr>
                    <w:rPr>
                      <w:rFonts w:ascii="仿宋" w:hAnsi="仿宋" w:eastAsia="仿宋" w:cs="仿宋"/>
                      <w:sz w:val="24"/>
                      <w:szCs w:val="24"/>
                    </w:rPr>
                  </w:pPr>
                  <w:r>
                    <w:rPr>
                      <w:rFonts w:hint="eastAsia" w:ascii="仿宋" w:hAnsi="仿宋" w:eastAsia="仿宋" w:cs="仿宋"/>
                      <w:sz w:val="24"/>
                      <w:szCs w:val="24"/>
                    </w:rPr>
                    <w:t>础</w:t>
                  </w:r>
                </w:p>
                <w:p>
                  <w:pPr>
                    <w:rPr>
                      <w:rFonts w:ascii="仿宋" w:hAnsi="仿宋" w:eastAsia="仿宋" w:cs="仿宋"/>
                      <w:sz w:val="24"/>
                      <w:szCs w:val="24"/>
                    </w:rPr>
                  </w:pPr>
                  <w:r>
                    <w:rPr>
                      <w:rFonts w:hint="eastAsia" w:ascii="仿宋" w:hAnsi="仿宋" w:eastAsia="仿宋" w:cs="仿宋"/>
                      <w:sz w:val="24"/>
                      <w:szCs w:val="24"/>
                    </w:rPr>
                    <w:t>课</w:t>
                  </w:r>
                </w:p>
              </w:tc>
              <w:tc>
                <w:tcPr>
                  <w:tcW w:w="642"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1</w:t>
                  </w:r>
                </w:p>
              </w:tc>
              <w:tc>
                <w:tcPr>
                  <w:tcW w:w="606"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03706</w:t>
                  </w:r>
                </w:p>
              </w:tc>
              <w:tc>
                <w:tcPr>
                  <w:tcW w:w="1319"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hint="eastAsia" w:ascii="仿宋" w:hAnsi="仿宋" w:eastAsia="仿宋" w:cs="仿宋"/>
                      <w:sz w:val="24"/>
                      <w:szCs w:val="24"/>
                    </w:rPr>
                    <w:t>思想道德修养与法律基础</w:t>
                  </w:r>
                </w:p>
              </w:tc>
              <w:tc>
                <w:tcPr>
                  <w:tcW w:w="587"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2</w:t>
                  </w:r>
                </w:p>
              </w:tc>
              <w:tc>
                <w:tcPr>
                  <w:tcW w:w="606"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hint="eastAsia" w:ascii="仿宋" w:hAnsi="仿宋" w:eastAsia="仿宋" w:cs="仿宋"/>
                      <w:sz w:val="24"/>
                      <w:szCs w:val="24"/>
                    </w:rPr>
                    <w:t>笔试</w:t>
                  </w:r>
                </w:p>
              </w:tc>
              <w:tc>
                <w:tcPr>
                  <w:tcW w:w="659"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021" w:hRule="exact"/>
                <w:jc w:val="center"/>
              </w:trPr>
              <w:tc>
                <w:tcPr>
                  <w:tcW w:w="578"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p>
              </w:tc>
              <w:tc>
                <w:tcPr>
                  <w:tcW w:w="642"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2</w:t>
                  </w:r>
                </w:p>
              </w:tc>
              <w:tc>
                <w:tcPr>
                  <w:tcW w:w="606"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12656</w:t>
                  </w:r>
                </w:p>
              </w:tc>
              <w:tc>
                <w:tcPr>
                  <w:tcW w:w="1319"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hint="eastAsia" w:ascii="仿宋" w:hAnsi="仿宋" w:eastAsia="仿宋" w:cs="仿宋"/>
                      <w:sz w:val="24"/>
                      <w:szCs w:val="24"/>
                    </w:rPr>
                    <w:t>毛泽东思想和中国特色社会主义理论体系概论</w:t>
                  </w:r>
                </w:p>
              </w:tc>
              <w:tc>
                <w:tcPr>
                  <w:tcW w:w="587"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4</w:t>
                  </w:r>
                </w:p>
              </w:tc>
              <w:tc>
                <w:tcPr>
                  <w:tcW w:w="606"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hint="eastAsia" w:ascii="仿宋" w:hAnsi="仿宋" w:eastAsia="仿宋" w:cs="仿宋"/>
                      <w:sz w:val="24"/>
                      <w:szCs w:val="24"/>
                    </w:rPr>
                    <w:t>笔试</w:t>
                  </w:r>
                </w:p>
              </w:tc>
              <w:tc>
                <w:tcPr>
                  <w:tcW w:w="659"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exact"/>
                <w:jc w:val="center"/>
              </w:trPr>
              <w:tc>
                <w:tcPr>
                  <w:tcW w:w="578" w:type="pct"/>
                  <w:vMerge w:val="restar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hint="eastAsia" w:ascii="仿宋" w:hAnsi="仿宋" w:eastAsia="仿宋" w:cs="仿宋"/>
                      <w:sz w:val="24"/>
                      <w:szCs w:val="24"/>
                    </w:rPr>
                    <w:t>专</w:t>
                  </w:r>
                </w:p>
                <w:p>
                  <w:pPr>
                    <w:rPr>
                      <w:rFonts w:ascii="仿宋" w:hAnsi="仿宋" w:eastAsia="仿宋" w:cs="仿宋"/>
                      <w:sz w:val="24"/>
                      <w:szCs w:val="24"/>
                    </w:rPr>
                  </w:pPr>
                  <w:r>
                    <w:rPr>
                      <w:rFonts w:hint="eastAsia" w:ascii="仿宋" w:hAnsi="仿宋" w:eastAsia="仿宋" w:cs="仿宋"/>
                      <w:sz w:val="24"/>
                      <w:szCs w:val="24"/>
                    </w:rPr>
                    <w:t>业</w:t>
                  </w:r>
                </w:p>
                <w:p>
                  <w:pPr>
                    <w:rPr>
                      <w:rFonts w:ascii="仿宋" w:hAnsi="仿宋" w:eastAsia="仿宋" w:cs="仿宋"/>
                      <w:sz w:val="24"/>
                      <w:szCs w:val="24"/>
                    </w:rPr>
                  </w:pPr>
                  <w:r>
                    <w:rPr>
                      <w:rFonts w:hint="eastAsia" w:ascii="仿宋" w:hAnsi="仿宋" w:eastAsia="仿宋" w:cs="仿宋"/>
                      <w:sz w:val="24"/>
                      <w:szCs w:val="24"/>
                    </w:rPr>
                    <w:t>核</w:t>
                  </w:r>
                </w:p>
                <w:p>
                  <w:pPr>
                    <w:rPr>
                      <w:rFonts w:ascii="仿宋" w:hAnsi="仿宋" w:eastAsia="仿宋" w:cs="仿宋"/>
                      <w:sz w:val="24"/>
                      <w:szCs w:val="24"/>
                    </w:rPr>
                  </w:pPr>
                  <w:r>
                    <w:rPr>
                      <w:rFonts w:hint="eastAsia" w:ascii="仿宋" w:hAnsi="仿宋" w:eastAsia="仿宋" w:cs="仿宋"/>
                      <w:sz w:val="24"/>
                      <w:szCs w:val="24"/>
                    </w:rPr>
                    <w:t>心</w:t>
                  </w:r>
                </w:p>
                <w:p>
                  <w:pPr>
                    <w:rPr>
                      <w:rFonts w:ascii="仿宋" w:hAnsi="仿宋" w:eastAsia="仿宋" w:cs="仿宋"/>
                      <w:sz w:val="24"/>
                      <w:szCs w:val="24"/>
                    </w:rPr>
                  </w:pPr>
                  <w:r>
                    <w:rPr>
                      <w:rFonts w:hint="eastAsia" w:ascii="仿宋" w:hAnsi="仿宋" w:eastAsia="仿宋" w:cs="仿宋"/>
                      <w:sz w:val="24"/>
                      <w:szCs w:val="24"/>
                    </w:rPr>
                    <w:t>课</w:t>
                  </w:r>
                </w:p>
              </w:tc>
              <w:tc>
                <w:tcPr>
                  <w:tcW w:w="642"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3</w:t>
                  </w:r>
                </w:p>
              </w:tc>
              <w:tc>
                <w:tcPr>
                  <w:tcW w:w="606"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05679</w:t>
                  </w:r>
                </w:p>
              </w:tc>
              <w:tc>
                <w:tcPr>
                  <w:tcW w:w="1319"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hint="eastAsia" w:ascii="仿宋" w:hAnsi="仿宋" w:eastAsia="仿宋" w:cs="仿宋"/>
                      <w:sz w:val="24"/>
                      <w:szCs w:val="24"/>
                    </w:rPr>
                    <w:t>宪法学</w:t>
                  </w:r>
                </w:p>
              </w:tc>
              <w:tc>
                <w:tcPr>
                  <w:tcW w:w="587"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4</w:t>
                  </w:r>
                </w:p>
              </w:tc>
              <w:tc>
                <w:tcPr>
                  <w:tcW w:w="606" w:type="pct"/>
                  <w:tcBorders>
                    <w:top w:val="single" w:color="000000" w:sz="2" w:space="0"/>
                    <w:left w:val="single" w:color="000000" w:sz="2" w:space="0"/>
                    <w:bottom w:val="single" w:color="000000" w:sz="2" w:space="0"/>
                    <w:right w:val="single" w:color="000000" w:sz="2" w:space="0"/>
                  </w:tcBorders>
                </w:tcPr>
                <w:p>
                  <w:pPr>
                    <w:rPr>
                      <w:rFonts w:ascii="仿宋" w:hAnsi="仿宋" w:eastAsia="仿宋" w:cs="仿宋"/>
                      <w:sz w:val="24"/>
                      <w:szCs w:val="24"/>
                    </w:rPr>
                  </w:pPr>
                  <w:r>
                    <w:rPr>
                      <w:rFonts w:hint="eastAsia" w:ascii="仿宋" w:hAnsi="仿宋" w:eastAsia="仿宋" w:cs="仿宋"/>
                      <w:sz w:val="24"/>
                      <w:szCs w:val="24"/>
                    </w:rPr>
                    <w:t>笔试</w:t>
                  </w:r>
                </w:p>
              </w:tc>
              <w:tc>
                <w:tcPr>
                  <w:tcW w:w="659"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exact"/>
                <w:jc w:val="center"/>
              </w:trPr>
              <w:tc>
                <w:tcPr>
                  <w:tcW w:w="578"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p>
              </w:tc>
              <w:tc>
                <w:tcPr>
                  <w:tcW w:w="642"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4</w:t>
                  </w:r>
                </w:p>
              </w:tc>
              <w:tc>
                <w:tcPr>
                  <w:tcW w:w="606"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05677</w:t>
                  </w:r>
                </w:p>
              </w:tc>
              <w:tc>
                <w:tcPr>
                  <w:tcW w:w="1319"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hint="eastAsia" w:ascii="仿宋" w:hAnsi="仿宋" w:eastAsia="仿宋" w:cs="仿宋"/>
                      <w:sz w:val="24"/>
                      <w:szCs w:val="24"/>
                    </w:rPr>
                    <w:t>法理学</w:t>
                  </w:r>
                </w:p>
              </w:tc>
              <w:tc>
                <w:tcPr>
                  <w:tcW w:w="587"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7</w:t>
                  </w:r>
                </w:p>
              </w:tc>
              <w:tc>
                <w:tcPr>
                  <w:tcW w:w="606" w:type="pct"/>
                  <w:tcBorders>
                    <w:top w:val="single" w:color="000000" w:sz="2" w:space="0"/>
                    <w:left w:val="single" w:color="000000" w:sz="2" w:space="0"/>
                    <w:bottom w:val="single" w:color="000000" w:sz="2" w:space="0"/>
                    <w:right w:val="single" w:color="000000" w:sz="2" w:space="0"/>
                  </w:tcBorders>
                </w:tcPr>
                <w:p>
                  <w:pPr>
                    <w:rPr>
                      <w:rFonts w:ascii="仿宋" w:hAnsi="仿宋" w:eastAsia="仿宋" w:cs="仿宋"/>
                      <w:sz w:val="24"/>
                      <w:szCs w:val="24"/>
                    </w:rPr>
                  </w:pPr>
                  <w:r>
                    <w:rPr>
                      <w:rFonts w:hint="eastAsia" w:ascii="仿宋" w:hAnsi="仿宋" w:eastAsia="仿宋" w:cs="仿宋"/>
                      <w:sz w:val="24"/>
                      <w:szCs w:val="24"/>
                    </w:rPr>
                    <w:t>笔试</w:t>
                  </w:r>
                </w:p>
              </w:tc>
              <w:tc>
                <w:tcPr>
                  <w:tcW w:w="659"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exact"/>
                <w:jc w:val="center"/>
              </w:trPr>
              <w:tc>
                <w:tcPr>
                  <w:tcW w:w="578"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p>
              </w:tc>
              <w:tc>
                <w:tcPr>
                  <w:tcW w:w="642"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5</w:t>
                  </w:r>
                </w:p>
              </w:tc>
              <w:tc>
                <w:tcPr>
                  <w:tcW w:w="606"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00223</w:t>
                  </w:r>
                </w:p>
              </w:tc>
              <w:tc>
                <w:tcPr>
                  <w:tcW w:w="1319"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hint="eastAsia" w:ascii="仿宋" w:hAnsi="仿宋" w:eastAsia="仿宋" w:cs="仿宋"/>
                      <w:sz w:val="24"/>
                      <w:szCs w:val="24"/>
                    </w:rPr>
                    <w:t>中国法制史</w:t>
                  </w:r>
                </w:p>
              </w:tc>
              <w:tc>
                <w:tcPr>
                  <w:tcW w:w="587"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5</w:t>
                  </w:r>
                </w:p>
              </w:tc>
              <w:tc>
                <w:tcPr>
                  <w:tcW w:w="606" w:type="pct"/>
                  <w:tcBorders>
                    <w:top w:val="single" w:color="000000" w:sz="2" w:space="0"/>
                    <w:left w:val="single" w:color="000000" w:sz="2" w:space="0"/>
                    <w:bottom w:val="single" w:color="000000" w:sz="2" w:space="0"/>
                    <w:right w:val="single" w:color="000000" w:sz="2" w:space="0"/>
                  </w:tcBorders>
                </w:tcPr>
                <w:p>
                  <w:pPr>
                    <w:rPr>
                      <w:rFonts w:ascii="仿宋" w:hAnsi="仿宋" w:eastAsia="仿宋" w:cs="仿宋"/>
                      <w:sz w:val="24"/>
                      <w:szCs w:val="24"/>
                    </w:rPr>
                  </w:pPr>
                  <w:r>
                    <w:rPr>
                      <w:rFonts w:hint="eastAsia" w:ascii="仿宋" w:hAnsi="仿宋" w:eastAsia="仿宋" w:cs="仿宋"/>
                      <w:sz w:val="24"/>
                      <w:szCs w:val="24"/>
                    </w:rPr>
                    <w:t>笔试</w:t>
                  </w:r>
                </w:p>
              </w:tc>
              <w:tc>
                <w:tcPr>
                  <w:tcW w:w="659"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exact"/>
                <w:jc w:val="center"/>
              </w:trPr>
              <w:tc>
                <w:tcPr>
                  <w:tcW w:w="578"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p>
              </w:tc>
              <w:tc>
                <w:tcPr>
                  <w:tcW w:w="642"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6</w:t>
                  </w:r>
                </w:p>
              </w:tc>
              <w:tc>
                <w:tcPr>
                  <w:tcW w:w="606"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00242</w:t>
                  </w:r>
                </w:p>
              </w:tc>
              <w:tc>
                <w:tcPr>
                  <w:tcW w:w="1319"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hint="eastAsia" w:ascii="仿宋" w:hAnsi="仿宋" w:eastAsia="仿宋" w:cs="仿宋"/>
                      <w:sz w:val="24"/>
                      <w:szCs w:val="24"/>
                    </w:rPr>
                    <w:t>民法学</w:t>
                  </w:r>
                </w:p>
              </w:tc>
              <w:tc>
                <w:tcPr>
                  <w:tcW w:w="587"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7</w:t>
                  </w:r>
                </w:p>
              </w:tc>
              <w:tc>
                <w:tcPr>
                  <w:tcW w:w="606" w:type="pct"/>
                  <w:tcBorders>
                    <w:top w:val="single" w:color="000000" w:sz="2" w:space="0"/>
                    <w:left w:val="single" w:color="000000" w:sz="2" w:space="0"/>
                    <w:bottom w:val="single" w:color="000000" w:sz="2" w:space="0"/>
                    <w:right w:val="single" w:color="000000" w:sz="2" w:space="0"/>
                  </w:tcBorders>
                </w:tcPr>
                <w:p>
                  <w:pPr>
                    <w:rPr>
                      <w:rFonts w:ascii="仿宋" w:hAnsi="仿宋" w:eastAsia="仿宋" w:cs="仿宋"/>
                      <w:sz w:val="24"/>
                      <w:szCs w:val="24"/>
                    </w:rPr>
                  </w:pPr>
                  <w:r>
                    <w:rPr>
                      <w:rFonts w:hint="eastAsia" w:ascii="仿宋" w:hAnsi="仿宋" w:eastAsia="仿宋" w:cs="仿宋"/>
                      <w:sz w:val="24"/>
                      <w:szCs w:val="24"/>
                    </w:rPr>
                    <w:t>笔试</w:t>
                  </w:r>
                </w:p>
              </w:tc>
              <w:tc>
                <w:tcPr>
                  <w:tcW w:w="659"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exact"/>
                <w:jc w:val="center"/>
              </w:trPr>
              <w:tc>
                <w:tcPr>
                  <w:tcW w:w="578"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p>
              </w:tc>
              <w:tc>
                <w:tcPr>
                  <w:tcW w:w="642"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7</w:t>
                  </w:r>
                </w:p>
              </w:tc>
              <w:tc>
                <w:tcPr>
                  <w:tcW w:w="606"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00245</w:t>
                  </w:r>
                </w:p>
              </w:tc>
              <w:tc>
                <w:tcPr>
                  <w:tcW w:w="1319"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hint="eastAsia" w:ascii="仿宋" w:hAnsi="仿宋" w:eastAsia="仿宋" w:cs="仿宋"/>
                      <w:sz w:val="24"/>
                      <w:szCs w:val="24"/>
                    </w:rPr>
                    <w:t>刑法学</w:t>
                  </w:r>
                </w:p>
              </w:tc>
              <w:tc>
                <w:tcPr>
                  <w:tcW w:w="587"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7</w:t>
                  </w:r>
                </w:p>
              </w:tc>
              <w:tc>
                <w:tcPr>
                  <w:tcW w:w="606" w:type="pct"/>
                  <w:tcBorders>
                    <w:top w:val="single" w:color="000000" w:sz="2" w:space="0"/>
                    <w:left w:val="single" w:color="000000" w:sz="2" w:space="0"/>
                    <w:bottom w:val="single" w:color="000000" w:sz="2" w:space="0"/>
                    <w:right w:val="single" w:color="000000" w:sz="2" w:space="0"/>
                  </w:tcBorders>
                </w:tcPr>
                <w:p>
                  <w:pPr>
                    <w:rPr>
                      <w:rFonts w:ascii="仿宋" w:hAnsi="仿宋" w:eastAsia="仿宋" w:cs="仿宋"/>
                      <w:sz w:val="24"/>
                      <w:szCs w:val="24"/>
                    </w:rPr>
                  </w:pPr>
                  <w:r>
                    <w:rPr>
                      <w:rFonts w:hint="eastAsia" w:ascii="仿宋" w:hAnsi="仿宋" w:eastAsia="仿宋" w:cs="仿宋"/>
                      <w:sz w:val="24"/>
                      <w:szCs w:val="24"/>
                    </w:rPr>
                    <w:t>笔试</w:t>
                  </w:r>
                </w:p>
              </w:tc>
              <w:tc>
                <w:tcPr>
                  <w:tcW w:w="659"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exact"/>
                <w:jc w:val="center"/>
              </w:trPr>
              <w:tc>
                <w:tcPr>
                  <w:tcW w:w="578"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p>
              </w:tc>
              <w:tc>
                <w:tcPr>
                  <w:tcW w:w="642"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8</w:t>
                  </w:r>
                </w:p>
              </w:tc>
              <w:tc>
                <w:tcPr>
                  <w:tcW w:w="606"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00243</w:t>
                  </w:r>
                </w:p>
              </w:tc>
              <w:tc>
                <w:tcPr>
                  <w:tcW w:w="1319"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hint="eastAsia" w:ascii="仿宋" w:hAnsi="仿宋" w:eastAsia="仿宋" w:cs="仿宋"/>
                      <w:sz w:val="24"/>
                      <w:szCs w:val="24"/>
                    </w:rPr>
                    <w:t>民事诉讼法学</w:t>
                  </w:r>
                </w:p>
              </w:tc>
              <w:tc>
                <w:tcPr>
                  <w:tcW w:w="587"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5</w:t>
                  </w:r>
                </w:p>
              </w:tc>
              <w:tc>
                <w:tcPr>
                  <w:tcW w:w="606" w:type="pct"/>
                  <w:tcBorders>
                    <w:top w:val="single" w:color="000000" w:sz="2" w:space="0"/>
                    <w:left w:val="single" w:color="000000" w:sz="2" w:space="0"/>
                    <w:bottom w:val="single" w:color="000000" w:sz="2" w:space="0"/>
                    <w:right w:val="single" w:color="000000" w:sz="2" w:space="0"/>
                  </w:tcBorders>
                </w:tcPr>
                <w:p>
                  <w:pPr>
                    <w:rPr>
                      <w:rFonts w:ascii="仿宋" w:hAnsi="仿宋" w:eastAsia="仿宋" w:cs="仿宋"/>
                      <w:sz w:val="24"/>
                      <w:szCs w:val="24"/>
                    </w:rPr>
                  </w:pPr>
                  <w:r>
                    <w:rPr>
                      <w:rFonts w:hint="eastAsia" w:ascii="仿宋" w:hAnsi="仿宋" w:eastAsia="仿宋" w:cs="仿宋"/>
                      <w:sz w:val="24"/>
                      <w:szCs w:val="24"/>
                    </w:rPr>
                    <w:t>笔试</w:t>
                  </w:r>
                </w:p>
              </w:tc>
              <w:tc>
                <w:tcPr>
                  <w:tcW w:w="659"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exact"/>
                <w:jc w:val="center"/>
              </w:trPr>
              <w:tc>
                <w:tcPr>
                  <w:tcW w:w="578"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p>
              </w:tc>
              <w:tc>
                <w:tcPr>
                  <w:tcW w:w="642"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9</w:t>
                  </w:r>
                </w:p>
              </w:tc>
              <w:tc>
                <w:tcPr>
                  <w:tcW w:w="606"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00260</w:t>
                  </w:r>
                </w:p>
              </w:tc>
              <w:tc>
                <w:tcPr>
                  <w:tcW w:w="1319"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hint="eastAsia" w:ascii="仿宋" w:hAnsi="仿宋" w:eastAsia="仿宋" w:cs="仿宋"/>
                      <w:sz w:val="24"/>
                      <w:szCs w:val="24"/>
                    </w:rPr>
                    <w:t>刑事诉讼法学</w:t>
                  </w:r>
                </w:p>
              </w:tc>
              <w:tc>
                <w:tcPr>
                  <w:tcW w:w="587"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4</w:t>
                  </w:r>
                </w:p>
              </w:tc>
              <w:tc>
                <w:tcPr>
                  <w:tcW w:w="606" w:type="pct"/>
                  <w:tcBorders>
                    <w:top w:val="single" w:color="000000" w:sz="2" w:space="0"/>
                    <w:left w:val="single" w:color="000000" w:sz="2" w:space="0"/>
                    <w:bottom w:val="single" w:color="000000" w:sz="2" w:space="0"/>
                    <w:right w:val="single" w:color="000000" w:sz="2" w:space="0"/>
                  </w:tcBorders>
                </w:tcPr>
                <w:p>
                  <w:pPr>
                    <w:rPr>
                      <w:rFonts w:ascii="仿宋" w:hAnsi="仿宋" w:eastAsia="仿宋" w:cs="仿宋"/>
                      <w:sz w:val="24"/>
                      <w:szCs w:val="24"/>
                    </w:rPr>
                  </w:pPr>
                  <w:r>
                    <w:rPr>
                      <w:rFonts w:hint="eastAsia" w:ascii="仿宋" w:hAnsi="仿宋" w:eastAsia="仿宋" w:cs="仿宋"/>
                      <w:sz w:val="24"/>
                      <w:szCs w:val="24"/>
                    </w:rPr>
                    <w:t>笔试</w:t>
                  </w:r>
                </w:p>
              </w:tc>
              <w:tc>
                <w:tcPr>
                  <w:tcW w:w="659"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exact"/>
                <w:jc w:val="center"/>
              </w:trPr>
              <w:tc>
                <w:tcPr>
                  <w:tcW w:w="578"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p>
              </w:tc>
              <w:tc>
                <w:tcPr>
                  <w:tcW w:w="642"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10</w:t>
                  </w:r>
                </w:p>
              </w:tc>
              <w:tc>
                <w:tcPr>
                  <w:tcW w:w="606"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13532</w:t>
                  </w:r>
                </w:p>
              </w:tc>
              <w:tc>
                <w:tcPr>
                  <w:tcW w:w="1319"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hint="eastAsia" w:ascii="仿宋" w:hAnsi="仿宋" w:eastAsia="仿宋" w:cs="仿宋"/>
                      <w:sz w:val="24"/>
                      <w:szCs w:val="24"/>
                    </w:rPr>
                    <w:t>法律职业伦理</w:t>
                  </w:r>
                </w:p>
              </w:tc>
              <w:tc>
                <w:tcPr>
                  <w:tcW w:w="587"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3</w:t>
                  </w:r>
                </w:p>
              </w:tc>
              <w:tc>
                <w:tcPr>
                  <w:tcW w:w="606" w:type="pct"/>
                  <w:tcBorders>
                    <w:top w:val="single" w:color="000000" w:sz="2" w:space="0"/>
                    <w:left w:val="single" w:color="000000" w:sz="2" w:space="0"/>
                    <w:bottom w:val="single" w:color="000000" w:sz="2" w:space="0"/>
                    <w:right w:val="single" w:color="000000" w:sz="2" w:space="0"/>
                  </w:tcBorders>
                </w:tcPr>
                <w:p>
                  <w:pPr>
                    <w:rPr>
                      <w:rFonts w:ascii="仿宋" w:hAnsi="仿宋" w:eastAsia="仿宋" w:cs="仿宋"/>
                      <w:sz w:val="24"/>
                      <w:szCs w:val="24"/>
                    </w:rPr>
                  </w:pPr>
                  <w:r>
                    <w:rPr>
                      <w:rFonts w:hint="eastAsia" w:ascii="仿宋" w:hAnsi="仿宋" w:eastAsia="仿宋" w:cs="仿宋"/>
                      <w:sz w:val="24"/>
                      <w:szCs w:val="24"/>
                    </w:rPr>
                    <w:t>笔试</w:t>
                  </w:r>
                </w:p>
              </w:tc>
              <w:tc>
                <w:tcPr>
                  <w:tcW w:w="659"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80" w:hRule="exact"/>
                <w:jc w:val="center"/>
              </w:trPr>
              <w:tc>
                <w:tcPr>
                  <w:tcW w:w="578" w:type="pct"/>
                  <w:vMerge w:val="restar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lang w:val="en-US"/>
                    </w:rPr>
                  </w:pPr>
                  <w:r>
                    <w:rPr>
                      <w:rFonts w:hint="eastAsia" w:ascii="仿宋" w:hAnsi="仿宋" w:eastAsia="仿宋" w:cs="仿宋"/>
                      <w:sz w:val="24"/>
                      <w:szCs w:val="24"/>
                      <w:lang w:val="en-US"/>
                    </w:rPr>
                    <w:t>专</w:t>
                  </w:r>
                </w:p>
                <w:p>
                  <w:pPr>
                    <w:rPr>
                      <w:rFonts w:ascii="仿宋" w:hAnsi="仿宋" w:eastAsia="仿宋" w:cs="仿宋"/>
                      <w:sz w:val="24"/>
                      <w:szCs w:val="24"/>
                      <w:lang w:val="en-US"/>
                    </w:rPr>
                  </w:pPr>
                  <w:r>
                    <w:rPr>
                      <w:rFonts w:hint="eastAsia" w:ascii="仿宋" w:hAnsi="仿宋" w:eastAsia="仿宋" w:cs="仿宋"/>
                      <w:sz w:val="24"/>
                      <w:szCs w:val="24"/>
                      <w:lang w:val="en-US"/>
                    </w:rPr>
                    <w:t>业</w:t>
                  </w:r>
                </w:p>
                <w:p>
                  <w:pPr>
                    <w:rPr>
                      <w:rFonts w:ascii="仿宋" w:hAnsi="仿宋" w:eastAsia="仿宋" w:cs="仿宋"/>
                      <w:sz w:val="24"/>
                      <w:szCs w:val="24"/>
                      <w:lang w:val="en-US"/>
                    </w:rPr>
                  </w:pPr>
                  <w:r>
                    <w:rPr>
                      <w:rFonts w:hint="eastAsia" w:ascii="仿宋" w:hAnsi="仿宋" w:eastAsia="仿宋" w:cs="仿宋"/>
                      <w:sz w:val="24"/>
                      <w:szCs w:val="24"/>
                      <w:lang w:val="en-US"/>
                    </w:rPr>
                    <w:t>拓</w:t>
                  </w:r>
                </w:p>
                <w:p>
                  <w:pPr>
                    <w:rPr>
                      <w:rFonts w:ascii="仿宋" w:hAnsi="仿宋" w:eastAsia="仿宋" w:cs="仿宋"/>
                      <w:sz w:val="24"/>
                      <w:szCs w:val="24"/>
                      <w:lang w:val="en-US"/>
                    </w:rPr>
                  </w:pPr>
                  <w:r>
                    <w:rPr>
                      <w:rFonts w:hint="eastAsia" w:ascii="仿宋" w:hAnsi="仿宋" w:eastAsia="仿宋" w:cs="仿宋"/>
                      <w:sz w:val="24"/>
                      <w:szCs w:val="24"/>
                      <w:lang w:val="en-US"/>
                    </w:rPr>
                    <w:t>展</w:t>
                  </w:r>
                </w:p>
                <w:p>
                  <w:pPr>
                    <w:rPr>
                      <w:rFonts w:ascii="仿宋" w:hAnsi="仿宋" w:eastAsia="仿宋" w:cs="仿宋"/>
                      <w:sz w:val="24"/>
                      <w:szCs w:val="24"/>
                      <w:lang w:val="en-US"/>
                    </w:rPr>
                  </w:pPr>
                  <w:r>
                    <w:rPr>
                      <w:rFonts w:hint="eastAsia" w:ascii="仿宋" w:hAnsi="仿宋" w:eastAsia="仿宋" w:cs="仿宋"/>
                      <w:sz w:val="24"/>
                      <w:szCs w:val="24"/>
                      <w:lang w:val="en-US"/>
                    </w:rPr>
                    <w:t>课</w:t>
                  </w:r>
                </w:p>
              </w:tc>
              <w:tc>
                <w:tcPr>
                  <w:tcW w:w="642"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11</w:t>
                  </w:r>
                </w:p>
              </w:tc>
              <w:tc>
                <w:tcPr>
                  <w:tcW w:w="606" w:type="pct"/>
                  <w:tcBorders>
                    <w:top w:val="single" w:color="000000" w:sz="2" w:space="0"/>
                    <w:left w:val="single" w:color="000000" w:sz="2" w:space="0"/>
                    <w:bottom w:val="single" w:color="000000" w:sz="2" w:space="0"/>
                    <w:right w:val="single" w:color="auto" w:sz="4" w:space="0"/>
                  </w:tcBorders>
                  <w:shd w:val="clear" w:color="auto" w:fill="FFFFFF"/>
                  <w:vAlign w:val="center"/>
                </w:tcPr>
                <w:p>
                  <w:pPr>
                    <w:rPr>
                      <w:rFonts w:ascii="仿宋" w:hAnsi="仿宋" w:eastAsia="仿宋" w:cs="仿宋"/>
                      <w:sz w:val="24"/>
                      <w:szCs w:val="24"/>
                      <w:lang w:val="en-US"/>
                    </w:rPr>
                  </w:pPr>
                  <w:r>
                    <w:rPr>
                      <w:rFonts w:ascii="仿宋" w:hAnsi="仿宋" w:eastAsia="仿宋" w:cs="仿宋"/>
                      <w:sz w:val="24"/>
                      <w:szCs w:val="24"/>
                    </w:rPr>
                    <w:t>002</w:t>
                  </w:r>
                  <w:r>
                    <w:rPr>
                      <w:rFonts w:ascii="仿宋" w:hAnsi="仿宋" w:eastAsia="仿宋" w:cs="仿宋"/>
                      <w:sz w:val="24"/>
                      <w:szCs w:val="24"/>
                      <w:lang w:val="en-US"/>
                    </w:rPr>
                    <w:t>14</w:t>
                  </w:r>
                </w:p>
              </w:tc>
              <w:tc>
                <w:tcPr>
                  <w:tcW w:w="1319" w:type="pct"/>
                  <w:tcBorders>
                    <w:top w:val="single" w:color="000000" w:sz="2" w:space="0"/>
                    <w:left w:val="single" w:color="auto" w:sz="4" w:space="0"/>
                    <w:bottom w:val="single" w:color="000000" w:sz="2" w:space="0"/>
                    <w:right w:val="single" w:color="000000" w:sz="2" w:space="0"/>
                  </w:tcBorders>
                  <w:shd w:val="clear" w:color="auto" w:fill="FFFFFF"/>
                  <w:vAlign w:val="center"/>
                </w:tcPr>
                <w:p>
                  <w:pPr>
                    <w:rPr>
                      <w:rFonts w:ascii="仿宋" w:hAnsi="仿宋" w:eastAsia="仿宋" w:cs="仿宋"/>
                      <w:sz w:val="24"/>
                      <w:szCs w:val="24"/>
                    </w:rPr>
                  </w:pPr>
                  <w:r>
                    <w:rPr>
                      <w:rFonts w:hint="eastAsia" w:ascii="仿宋" w:hAnsi="仿宋" w:eastAsia="仿宋" w:cs="仿宋"/>
                      <w:sz w:val="24"/>
                      <w:szCs w:val="24"/>
                    </w:rPr>
                    <w:t>法律文书</w:t>
                  </w:r>
                  <w:r>
                    <w:rPr>
                      <w:rFonts w:hint="eastAsia" w:ascii="仿宋" w:hAnsi="仿宋" w:eastAsia="仿宋" w:cs="仿宋"/>
                      <w:sz w:val="24"/>
                      <w:szCs w:val="24"/>
                      <w:lang w:val="en-US"/>
                    </w:rPr>
                    <w:t>与律师实务</w:t>
                  </w:r>
                  <w:r>
                    <w:rPr>
                      <w:rFonts w:hint="eastAsia" w:ascii="仿宋" w:hAnsi="仿宋" w:eastAsia="仿宋" w:cs="仿宋"/>
                      <w:sz w:val="24"/>
                      <w:szCs w:val="24"/>
                    </w:rPr>
                    <w:t>写作</w:t>
                  </w:r>
                </w:p>
              </w:tc>
              <w:tc>
                <w:tcPr>
                  <w:tcW w:w="587" w:type="pct"/>
                  <w:tcBorders>
                    <w:top w:val="single" w:color="000000" w:sz="2" w:space="0"/>
                    <w:left w:val="single" w:color="000000" w:sz="2" w:space="0"/>
                    <w:bottom w:val="single" w:color="000000" w:sz="2" w:space="0"/>
                    <w:right w:val="single" w:color="000000" w:sz="2" w:space="0"/>
                  </w:tcBorders>
                  <w:shd w:val="clear" w:color="auto" w:fill="FFFFFF"/>
                  <w:vAlign w:val="center"/>
                </w:tcPr>
                <w:p>
                  <w:pPr>
                    <w:rPr>
                      <w:rFonts w:ascii="仿宋" w:hAnsi="仿宋" w:eastAsia="仿宋" w:cs="仿宋"/>
                      <w:sz w:val="24"/>
                      <w:szCs w:val="24"/>
                    </w:rPr>
                  </w:pPr>
                  <w:r>
                    <w:rPr>
                      <w:rFonts w:ascii="仿宋" w:hAnsi="仿宋" w:eastAsia="仿宋" w:cs="仿宋"/>
                      <w:sz w:val="24"/>
                      <w:szCs w:val="24"/>
                      <w:lang w:val="en-US"/>
                    </w:rPr>
                    <w:t>4</w:t>
                  </w:r>
                </w:p>
              </w:tc>
              <w:tc>
                <w:tcPr>
                  <w:tcW w:w="606" w:type="pct"/>
                  <w:tcBorders>
                    <w:top w:val="single" w:color="000000" w:sz="2" w:space="0"/>
                    <w:left w:val="single" w:color="000000" w:sz="2" w:space="0"/>
                    <w:bottom w:val="single" w:color="auto" w:sz="4" w:space="0"/>
                    <w:right w:val="single" w:color="000000" w:sz="2" w:space="0"/>
                  </w:tcBorders>
                </w:tcPr>
                <w:p>
                  <w:pPr>
                    <w:spacing w:line="480" w:lineRule="auto"/>
                    <w:rPr>
                      <w:rFonts w:ascii="仿宋" w:hAnsi="仿宋" w:eastAsia="仿宋" w:cs="仿宋"/>
                      <w:sz w:val="24"/>
                      <w:szCs w:val="24"/>
                    </w:rPr>
                  </w:pPr>
                  <w:r>
                    <w:rPr>
                      <w:rFonts w:hint="eastAsia" w:ascii="仿宋" w:hAnsi="仿宋" w:eastAsia="仿宋" w:cs="仿宋"/>
                      <w:sz w:val="24"/>
                      <w:szCs w:val="24"/>
                    </w:rPr>
                    <w:t>笔试</w:t>
                  </w:r>
                </w:p>
              </w:tc>
              <w:tc>
                <w:tcPr>
                  <w:tcW w:w="659" w:type="pct"/>
                  <w:tcBorders>
                    <w:top w:val="single" w:color="000000" w:sz="2" w:space="0"/>
                    <w:left w:val="single" w:color="000000" w:sz="2" w:space="0"/>
                    <w:bottom w:val="single" w:color="auto" w:sz="4" w:space="0"/>
                    <w:right w:val="single" w:color="000000" w:sz="2" w:space="0"/>
                  </w:tcBorders>
                  <w:vAlign w:val="center"/>
                </w:tcPr>
                <w:p>
                  <w:pPr>
                    <w:rPr>
                      <w:rFonts w:ascii="仿宋" w:hAnsi="仿宋" w:eastAsia="仿宋" w:cs="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80" w:hRule="exact"/>
                <w:jc w:val="center"/>
              </w:trPr>
              <w:tc>
                <w:tcPr>
                  <w:tcW w:w="578"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p>
              </w:tc>
              <w:tc>
                <w:tcPr>
                  <w:tcW w:w="642"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12</w:t>
                  </w:r>
                </w:p>
              </w:tc>
              <w:tc>
                <w:tcPr>
                  <w:tcW w:w="606" w:type="pct"/>
                  <w:tcBorders>
                    <w:top w:val="single" w:color="000000" w:sz="2" w:space="0"/>
                    <w:left w:val="single" w:color="000000" w:sz="2" w:space="0"/>
                    <w:bottom w:val="single" w:color="000000" w:sz="2" w:space="0"/>
                    <w:right w:val="single" w:color="000000" w:sz="2" w:space="0"/>
                  </w:tcBorders>
                  <w:shd w:val="clear" w:color="auto" w:fill="FFFFFF"/>
                  <w:vAlign w:val="center"/>
                </w:tcPr>
                <w:p>
                  <w:pPr>
                    <w:rPr>
                      <w:rFonts w:ascii="仿宋" w:hAnsi="仿宋" w:eastAsia="仿宋" w:cs="仿宋"/>
                      <w:sz w:val="24"/>
                      <w:szCs w:val="24"/>
                      <w:lang w:val="en-US"/>
                    </w:rPr>
                  </w:pPr>
                  <w:r>
                    <w:rPr>
                      <w:rFonts w:ascii="仿宋" w:hAnsi="仿宋" w:eastAsia="仿宋" w:cs="仿宋"/>
                      <w:sz w:val="24"/>
                      <w:szCs w:val="24"/>
                      <w:lang w:val="en-US"/>
                    </w:rPr>
                    <w:t>00924</w:t>
                  </w:r>
                </w:p>
              </w:tc>
              <w:tc>
                <w:tcPr>
                  <w:tcW w:w="1319" w:type="pct"/>
                  <w:tcBorders>
                    <w:top w:val="single" w:color="000000" w:sz="2" w:space="0"/>
                    <w:left w:val="single" w:color="000000" w:sz="2" w:space="0"/>
                    <w:bottom w:val="single" w:color="000000" w:sz="2" w:space="0"/>
                    <w:right w:val="single" w:color="000000" w:sz="2" w:space="0"/>
                  </w:tcBorders>
                  <w:shd w:val="clear" w:color="auto" w:fill="FFFFFF"/>
                  <w:vAlign w:val="center"/>
                </w:tcPr>
                <w:p>
                  <w:pPr>
                    <w:rPr>
                      <w:rFonts w:ascii="仿宋" w:hAnsi="仿宋" w:eastAsia="仿宋" w:cs="仿宋"/>
                      <w:sz w:val="24"/>
                      <w:szCs w:val="24"/>
                      <w:lang w:val="en-US"/>
                    </w:rPr>
                  </w:pPr>
                  <w:r>
                    <w:rPr>
                      <w:rFonts w:hint="eastAsia" w:ascii="仿宋" w:hAnsi="仿宋" w:eastAsia="仿宋" w:cs="仿宋"/>
                      <w:sz w:val="24"/>
                      <w:szCs w:val="24"/>
                    </w:rPr>
                    <w:t>婚姻家庭法</w:t>
                  </w:r>
                  <w:r>
                    <w:rPr>
                      <w:rFonts w:hint="eastAsia" w:ascii="仿宋" w:hAnsi="仿宋" w:eastAsia="仿宋" w:cs="仿宋"/>
                      <w:sz w:val="24"/>
                      <w:szCs w:val="24"/>
                      <w:lang w:val="en-US"/>
                    </w:rPr>
                    <w:t>原理与实务</w:t>
                  </w:r>
                </w:p>
              </w:tc>
              <w:tc>
                <w:tcPr>
                  <w:tcW w:w="587" w:type="pct"/>
                  <w:tcBorders>
                    <w:top w:val="single" w:color="000000" w:sz="2" w:space="0"/>
                    <w:left w:val="single" w:color="000000" w:sz="2" w:space="0"/>
                    <w:bottom w:val="single" w:color="000000" w:sz="2" w:space="0"/>
                    <w:right w:val="single" w:color="000000" w:sz="2" w:space="0"/>
                  </w:tcBorders>
                  <w:shd w:val="clear" w:color="auto" w:fill="FFFFFF"/>
                  <w:vAlign w:val="center"/>
                </w:tcPr>
                <w:p>
                  <w:pPr>
                    <w:rPr>
                      <w:rFonts w:ascii="仿宋" w:hAnsi="仿宋" w:eastAsia="仿宋" w:cs="仿宋"/>
                      <w:sz w:val="24"/>
                      <w:szCs w:val="24"/>
                    </w:rPr>
                  </w:pPr>
                  <w:r>
                    <w:rPr>
                      <w:rFonts w:ascii="仿宋" w:hAnsi="仿宋" w:eastAsia="仿宋" w:cs="仿宋"/>
                      <w:sz w:val="24"/>
                      <w:szCs w:val="24"/>
                      <w:lang w:val="en-US"/>
                    </w:rPr>
                    <w:t>4</w:t>
                  </w:r>
                </w:p>
              </w:tc>
              <w:tc>
                <w:tcPr>
                  <w:tcW w:w="606" w:type="pct"/>
                  <w:tcBorders>
                    <w:top w:val="single" w:color="auto" w:sz="4" w:space="0"/>
                    <w:left w:val="single" w:color="000000" w:sz="2" w:space="0"/>
                    <w:bottom w:val="single" w:color="auto" w:sz="4" w:space="0"/>
                    <w:right w:val="single" w:color="000000" w:sz="2" w:space="0"/>
                  </w:tcBorders>
                </w:tcPr>
                <w:p>
                  <w:pPr>
                    <w:spacing w:line="480" w:lineRule="auto"/>
                    <w:rPr>
                      <w:rFonts w:ascii="仿宋" w:hAnsi="仿宋" w:eastAsia="仿宋" w:cs="仿宋"/>
                      <w:sz w:val="24"/>
                      <w:szCs w:val="24"/>
                    </w:rPr>
                  </w:pPr>
                  <w:r>
                    <w:rPr>
                      <w:rFonts w:hint="eastAsia" w:ascii="仿宋" w:hAnsi="仿宋" w:eastAsia="仿宋" w:cs="仿宋"/>
                      <w:sz w:val="24"/>
                      <w:szCs w:val="24"/>
                    </w:rPr>
                    <w:t>笔试</w:t>
                  </w:r>
                </w:p>
              </w:tc>
              <w:tc>
                <w:tcPr>
                  <w:tcW w:w="659" w:type="pct"/>
                  <w:tcBorders>
                    <w:top w:val="single" w:color="auto" w:sz="4" w:space="0"/>
                    <w:left w:val="single" w:color="000000" w:sz="2" w:space="0"/>
                    <w:bottom w:val="single" w:color="auto" w:sz="4" w:space="0"/>
                    <w:right w:val="single" w:color="000000" w:sz="2" w:space="0"/>
                  </w:tcBorders>
                  <w:vAlign w:val="center"/>
                </w:tcPr>
                <w:p>
                  <w:pPr>
                    <w:rPr>
                      <w:rFonts w:ascii="仿宋" w:hAnsi="仿宋" w:eastAsia="仿宋" w:cs="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exact"/>
                <w:jc w:val="center"/>
              </w:trPr>
              <w:tc>
                <w:tcPr>
                  <w:tcW w:w="578"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p>
              </w:tc>
              <w:tc>
                <w:tcPr>
                  <w:tcW w:w="642"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13</w:t>
                  </w:r>
                </w:p>
              </w:tc>
              <w:tc>
                <w:tcPr>
                  <w:tcW w:w="606" w:type="pct"/>
                  <w:tcBorders>
                    <w:top w:val="single" w:color="000000" w:sz="2" w:space="0"/>
                    <w:left w:val="single" w:color="000000" w:sz="2" w:space="0"/>
                    <w:bottom w:val="single" w:color="000000" w:sz="2" w:space="0"/>
                    <w:right w:val="single" w:color="000000" w:sz="2" w:space="0"/>
                  </w:tcBorders>
                  <w:shd w:val="clear" w:color="auto" w:fill="FFFFFF"/>
                  <w:vAlign w:val="center"/>
                </w:tcPr>
                <w:p>
                  <w:pPr>
                    <w:rPr>
                      <w:rFonts w:ascii="仿宋" w:hAnsi="仿宋" w:eastAsia="仿宋" w:cs="仿宋"/>
                      <w:sz w:val="24"/>
                      <w:szCs w:val="24"/>
                      <w:lang w:val="en-US"/>
                    </w:rPr>
                  </w:pPr>
                  <w:r>
                    <w:rPr>
                      <w:rFonts w:ascii="仿宋" w:hAnsi="仿宋" w:eastAsia="仿宋" w:cs="仿宋"/>
                      <w:sz w:val="24"/>
                      <w:szCs w:val="24"/>
                      <w:lang w:val="en-US"/>
                    </w:rPr>
                    <w:t>06909</w:t>
                  </w:r>
                </w:p>
              </w:tc>
              <w:tc>
                <w:tcPr>
                  <w:tcW w:w="1319" w:type="pct"/>
                  <w:tcBorders>
                    <w:top w:val="single" w:color="000000" w:sz="2" w:space="0"/>
                    <w:left w:val="single" w:color="000000" w:sz="2" w:space="0"/>
                    <w:bottom w:val="single" w:color="000000" w:sz="2" w:space="0"/>
                    <w:right w:val="single" w:color="000000" w:sz="2" w:space="0"/>
                  </w:tcBorders>
                  <w:shd w:val="clear" w:color="auto" w:fill="FFFFFF"/>
                  <w:vAlign w:val="center"/>
                </w:tcPr>
                <w:p>
                  <w:pPr>
                    <w:widowControl/>
                    <w:textAlignment w:val="center"/>
                    <w:rPr>
                      <w:rFonts w:ascii="仿宋" w:hAnsi="仿宋" w:eastAsia="仿宋" w:cs="仿宋"/>
                      <w:sz w:val="24"/>
                      <w:szCs w:val="24"/>
                      <w:lang w:val="en-US"/>
                    </w:rPr>
                  </w:pPr>
                  <w:r>
                    <w:rPr>
                      <w:rFonts w:hint="eastAsia" w:ascii="仿宋" w:hAnsi="仿宋" w:eastAsia="仿宋" w:cs="仿宋"/>
                      <w:sz w:val="24"/>
                      <w:szCs w:val="24"/>
                      <w:lang w:val="en-US"/>
                    </w:rPr>
                    <w:t>行政诉讼法</w:t>
                  </w:r>
                </w:p>
              </w:tc>
              <w:tc>
                <w:tcPr>
                  <w:tcW w:w="587" w:type="pct"/>
                  <w:tcBorders>
                    <w:top w:val="single" w:color="000000" w:sz="2" w:space="0"/>
                    <w:left w:val="single" w:color="000000" w:sz="2" w:space="0"/>
                    <w:bottom w:val="single" w:color="000000" w:sz="2" w:space="0"/>
                    <w:right w:val="single" w:color="000000" w:sz="2" w:space="0"/>
                  </w:tcBorders>
                  <w:shd w:val="clear" w:color="auto" w:fill="FFFFFF"/>
                  <w:vAlign w:val="center"/>
                </w:tcPr>
                <w:p>
                  <w:pPr>
                    <w:widowControl/>
                    <w:textAlignment w:val="center"/>
                    <w:rPr>
                      <w:rFonts w:ascii="仿宋" w:hAnsi="仿宋" w:eastAsia="仿宋" w:cs="仿宋"/>
                      <w:sz w:val="24"/>
                      <w:szCs w:val="24"/>
                      <w:lang w:val="en-US"/>
                    </w:rPr>
                  </w:pPr>
                  <w:r>
                    <w:rPr>
                      <w:rFonts w:ascii="仿宋" w:hAnsi="仿宋" w:eastAsia="仿宋" w:cs="仿宋"/>
                      <w:sz w:val="24"/>
                      <w:szCs w:val="24"/>
                    </w:rPr>
                    <w:t>5</w:t>
                  </w:r>
                </w:p>
              </w:tc>
              <w:tc>
                <w:tcPr>
                  <w:tcW w:w="606" w:type="pct"/>
                  <w:tcBorders>
                    <w:top w:val="single" w:color="auto" w:sz="4" w:space="0"/>
                    <w:left w:val="single" w:color="000000" w:sz="2" w:space="0"/>
                    <w:bottom w:val="single" w:color="auto" w:sz="4" w:space="0"/>
                    <w:right w:val="single" w:color="000000" w:sz="2" w:space="0"/>
                  </w:tcBorders>
                </w:tcPr>
                <w:p>
                  <w:pPr>
                    <w:rPr>
                      <w:rFonts w:ascii="仿宋" w:hAnsi="仿宋" w:eastAsia="仿宋" w:cs="仿宋"/>
                      <w:sz w:val="24"/>
                      <w:szCs w:val="24"/>
                    </w:rPr>
                  </w:pPr>
                  <w:r>
                    <w:rPr>
                      <w:rFonts w:hint="eastAsia" w:ascii="仿宋" w:hAnsi="仿宋" w:eastAsia="仿宋" w:cs="仿宋"/>
                      <w:sz w:val="24"/>
                      <w:szCs w:val="24"/>
                    </w:rPr>
                    <w:t>笔试</w:t>
                  </w:r>
                </w:p>
              </w:tc>
              <w:tc>
                <w:tcPr>
                  <w:tcW w:w="659" w:type="pct"/>
                  <w:tcBorders>
                    <w:top w:val="single" w:color="auto" w:sz="4" w:space="0"/>
                    <w:left w:val="single" w:color="000000" w:sz="2" w:space="0"/>
                    <w:bottom w:val="single" w:color="auto" w:sz="4" w:space="0"/>
                    <w:right w:val="single" w:color="000000" w:sz="2" w:space="0"/>
                  </w:tcBorders>
                  <w:vAlign w:val="center"/>
                </w:tcPr>
                <w:p>
                  <w:pPr>
                    <w:rPr>
                      <w:rFonts w:ascii="仿宋" w:hAnsi="仿宋" w:eastAsia="仿宋" w:cs="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exact"/>
                <w:jc w:val="center"/>
              </w:trPr>
              <w:tc>
                <w:tcPr>
                  <w:tcW w:w="578"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p>
              </w:tc>
              <w:tc>
                <w:tcPr>
                  <w:tcW w:w="642"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lang w:val="en-US"/>
                    </w:rPr>
                  </w:pPr>
                  <w:r>
                    <w:rPr>
                      <w:rFonts w:ascii="仿宋" w:hAnsi="仿宋" w:eastAsia="仿宋" w:cs="仿宋"/>
                      <w:sz w:val="24"/>
                      <w:szCs w:val="24"/>
                      <w:lang w:val="en-US"/>
                    </w:rPr>
                    <w:t>14</w:t>
                  </w:r>
                </w:p>
              </w:tc>
              <w:tc>
                <w:tcPr>
                  <w:tcW w:w="606" w:type="pct"/>
                  <w:tcBorders>
                    <w:top w:val="single" w:color="000000" w:sz="2" w:space="0"/>
                    <w:left w:val="single" w:color="000000" w:sz="2" w:space="0"/>
                    <w:bottom w:val="single" w:color="000000" w:sz="2" w:space="0"/>
                    <w:right w:val="single" w:color="000000" w:sz="2" w:space="0"/>
                  </w:tcBorders>
                  <w:shd w:val="clear" w:color="auto" w:fill="FFFFFF"/>
                  <w:vAlign w:val="center"/>
                </w:tcPr>
                <w:p>
                  <w:pPr>
                    <w:rPr>
                      <w:rFonts w:ascii="仿宋" w:hAnsi="仿宋" w:eastAsia="仿宋" w:cs="仿宋"/>
                      <w:sz w:val="24"/>
                      <w:szCs w:val="24"/>
                      <w:lang w:val="en-US"/>
                    </w:rPr>
                  </w:pPr>
                  <w:r>
                    <w:rPr>
                      <w:rFonts w:ascii="仿宋" w:hAnsi="仿宋" w:eastAsia="仿宋" w:cs="仿宋"/>
                      <w:sz w:val="24"/>
                      <w:szCs w:val="24"/>
                      <w:lang w:val="en-US"/>
                    </w:rPr>
                    <w:t>14005</w:t>
                  </w:r>
                </w:p>
              </w:tc>
              <w:tc>
                <w:tcPr>
                  <w:tcW w:w="1319" w:type="pct"/>
                  <w:tcBorders>
                    <w:top w:val="single" w:color="000000" w:sz="2" w:space="0"/>
                    <w:left w:val="single" w:color="000000" w:sz="2" w:space="0"/>
                    <w:bottom w:val="single" w:color="000000" w:sz="2" w:space="0"/>
                    <w:right w:val="single" w:color="000000" w:sz="2" w:space="0"/>
                  </w:tcBorders>
                  <w:shd w:val="clear" w:color="auto" w:fill="FFFFFF"/>
                  <w:vAlign w:val="center"/>
                </w:tcPr>
                <w:p>
                  <w:pPr>
                    <w:rPr>
                      <w:rFonts w:ascii="仿宋" w:hAnsi="仿宋" w:eastAsia="仿宋" w:cs="仿宋"/>
                      <w:sz w:val="24"/>
                      <w:szCs w:val="24"/>
                      <w:lang w:val="en-US"/>
                    </w:rPr>
                  </w:pPr>
                  <w:r>
                    <w:rPr>
                      <w:rFonts w:hint="eastAsia" w:ascii="仿宋" w:hAnsi="仿宋" w:eastAsia="仿宋" w:cs="仿宋"/>
                      <w:sz w:val="24"/>
                      <w:szCs w:val="24"/>
                      <w:lang w:val="en-US"/>
                    </w:rPr>
                    <w:t>律师与公证制度</w:t>
                  </w:r>
                </w:p>
              </w:tc>
              <w:tc>
                <w:tcPr>
                  <w:tcW w:w="587" w:type="pct"/>
                  <w:tcBorders>
                    <w:top w:val="single" w:color="000000" w:sz="2" w:space="0"/>
                    <w:left w:val="single" w:color="000000" w:sz="2" w:space="0"/>
                    <w:bottom w:val="single" w:color="000000" w:sz="2" w:space="0"/>
                    <w:right w:val="single" w:color="000000" w:sz="2" w:space="0"/>
                  </w:tcBorders>
                  <w:shd w:val="clear" w:color="auto" w:fill="FFFFFF"/>
                  <w:vAlign w:val="center"/>
                </w:tcPr>
                <w:p>
                  <w:pPr>
                    <w:rPr>
                      <w:rFonts w:ascii="仿宋" w:hAnsi="仿宋" w:eastAsia="仿宋" w:cs="仿宋"/>
                      <w:sz w:val="24"/>
                      <w:szCs w:val="24"/>
                      <w:lang w:val="en-US"/>
                    </w:rPr>
                  </w:pPr>
                  <w:r>
                    <w:rPr>
                      <w:rFonts w:ascii="仿宋" w:hAnsi="仿宋" w:eastAsia="仿宋" w:cs="仿宋"/>
                      <w:sz w:val="24"/>
                      <w:szCs w:val="24"/>
                      <w:lang w:val="en-US"/>
                    </w:rPr>
                    <w:t>3</w:t>
                  </w:r>
                </w:p>
              </w:tc>
              <w:tc>
                <w:tcPr>
                  <w:tcW w:w="606" w:type="pct"/>
                  <w:tcBorders>
                    <w:top w:val="single" w:color="auto" w:sz="4" w:space="0"/>
                    <w:left w:val="single" w:color="000000" w:sz="2" w:space="0"/>
                    <w:bottom w:val="single" w:color="000000" w:sz="2" w:space="0"/>
                    <w:right w:val="single" w:color="000000" w:sz="2" w:space="0"/>
                  </w:tcBorders>
                </w:tcPr>
                <w:p>
                  <w:pPr>
                    <w:rPr>
                      <w:rFonts w:ascii="仿宋" w:hAnsi="仿宋" w:eastAsia="仿宋" w:cs="仿宋"/>
                      <w:sz w:val="24"/>
                      <w:szCs w:val="24"/>
                      <w:lang w:val="en-US"/>
                    </w:rPr>
                  </w:pPr>
                  <w:r>
                    <w:rPr>
                      <w:rFonts w:hint="eastAsia" w:ascii="仿宋" w:hAnsi="仿宋" w:eastAsia="仿宋" w:cs="仿宋"/>
                      <w:sz w:val="24"/>
                      <w:szCs w:val="24"/>
                      <w:lang w:val="en-US"/>
                    </w:rPr>
                    <w:t>笔试</w:t>
                  </w:r>
                </w:p>
              </w:tc>
              <w:tc>
                <w:tcPr>
                  <w:tcW w:w="659" w:type="pct"/>
                  <w:tcBorders>
                    <w:top w:val="single" w:color="auto" w:sz="4" w:space="0"/>
                    <w:left w:val="single" w:color="000000" w:sz="2" w:space="0"/>
                    <w:bottom w:val="single" w:color="auto" w:sz="4" w:space="0"/>
                    <w:right w:val="single" w:color="000000" w:sz="2" w:space="0"/>
                  </w:tcBorders>
                  <w:vAlign w:val="center"/>
                </w:tcPr>
                <w:p>
                  <w:pPr>
                    <w:rPr>
                      <w:rFonts w:ascii="仿宋" w:hAnsi="仿宋" w:eastAsia="仿宋" w:cs="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exact"/>
                <w:jc w:val="center"/>
              </w:trPr>
              <w:tc>
                <w:tcPr>
                  <w:tcW w:w="578" w:type="pct"/>
                  <w:vMerge w:val="continue"/>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p>
              </w:tc>
              <w:tc>
                <w:tcPr>
                  <w:tcW w:w="642" w:type="pct"/>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15</w:t>
                  </w:r>
                </w:p>
              </w:tc>
              <w:tc>
                <w:tcPr>
                  <w:tcW w:w="606" w:type="pct"/>
                  <w:tcBorders>
                    <w:top w:val="single" w:color="000000" w:sz="2" w:space="0"/>
                    <w:left w:val="single" w:color="000000" w:sz="2" w:space="0"/>
                    <w:bottom w:val="single" w:color="000000" w:sz="2" w:space="0"/>
                    <w:right w:val="single" w:color="000000" w:sz="2" w:space="0"/>
                  </w:tcBorders>
                  <w:shd w:val="clear" w:color="auto" w:fill="FFFFFF"/>
                  <w:vAlign w:val="center"/>
                </w:tcPr>
                <w:p>
                  <w:pPr>
                    <w:rPr>
                      <w:rFonts w:ascii="仿宋" w:hAnsi="仿宋" w:eastAsia="仿宋" w:cs="仿宋"/>
                      <w:sz w:val="24"/>
                      <w:szCs w:val="24"/>
                    </w:rPr>
                  </w:pPr>
                  <w:r>
                    <w:rPr>
                      <w:rFonts w:ascii="仿宋" w:hAnsi="仿宋" w:eastAsia="仿宋" w:cs="仿宋"/>
                      <w:sz w:val="24"/>
                      <w:szCs w:val="24"/>
                    </w:rPr>
                    <w:t>07790</w:t>
                  </w:r>
                </w:p>
              </w:tc>
              <w:tc>
                <w:tcPr>
                  <w:tcW w:w="1319" w:type="pct"/>
                  <w:tcBorders>
                    <w:top w:val="single" w:color="000000" w:sz="2" w:space="0"/>
                    <w:left w:val="single" w:color="000000" w:sz="2" w:space="0"/>
                    <w:bottom w:val="single" w:color="000000" w:sz="2" w:space="0"/>
                    <w:right w:val="single" w:color="000000" w:sz="2" w:space="0"/>
                  </w:tcBorders>
                  <w:shd w:val="clear" w:color="auto" w:fill="FFFFFF"/>
                  <w:vAlign w:val="center"/>
                </w:tcPr>
                <w:p>
                  <w:pPr>
                    <w:rPr>
                      <w:rFonts w:ascii="仿宋" w:hAnsi="仿宋" w:eastAsia="仿宋" w:cs="仿宋"/>
                      <w:sz w:val="24"/>
                      <w:szCs w:val="24"/>
                    </w:rPr>
                  </w:pPr>
                  <w:r>
                    <w:rPr>
                      <w:rFonts w:hint="eastAsia" w:ascii="仿宋" w:hAnsi="仿宋" w:eastAsia="仿宋" w:cs="仿宋"/>
                      <w:sz w:val="24"/>
                      <w:szCs w:val="24"/>
                    </w:rPr>
                    <w:t>经济法学</w:t>
                  </w:r>
                </w:p>
              </w:tc>
              <w:tc>
                <w:tcPr>
                  <w:tcW w:w="587" w:type="pct"/>
                  <w:tcBorders>
                    <w:top w:val="single" w:color="000000" w:sz="2" w:space="0"/>
                    <w:left w:val="single" w:color="000000" w:sz="2" w:space="0"/>
                    <w:bottom w:val="single" w:color="000000" w:sz="2" w:space="0"/>
                    <w:right w:val="single" w:color="000000" w:sz="2" w:space="0"/>
                  </w:tcBorders>
                  <w:shd w:val="clear" w:color="auto" w:fill="FFFFFF"/>
                  <w:vAlign w:val="center"/>
                </w:tcPr>
                <w:p>
                  <w:pPr>
                    <w:rPr>
                      <w:rFonts w:ascii="仿宋" w:hAnsi="仿宋" w:eastAsia="仿宋" w:cs="仿宋"/>
                      <w:sz w:val="24"/>
                      <w:szCs w:val="24"/>
                    </w:rPr>
                  </w:pPr>
                  <w:r>
                    <w:rPr>
                      <w:rFonts w:ascii="仿宋" w:hAnsi="仿宋" w:eastAsia="仿宋" w:cs="仿宋"/>
                      <w:sz w:val="24"/>
                      <w:szCs w:val="24"/>
                    </w:rPr>
                    <w:t>6</w:t>
                  </w:r>
                </w:p>
              </w:tc>
              <w:tc>
                <w:tcPr>
                  <w:tcW w:w="606" w:type="pct"/>
                  <w:tcBorders>
                    <w:top w:val="single" w:color="000000" w:sz="2" w:space="0"/>
                    <w:left w:val="single" w:color="000000" w:sz="2" w:space="0"/>
                    <w:bottom w:val="single" w:color="000000" w:sz="2" w:space="0"/>
                    <w:right w:val="single" w:color="000000" w:sz="2" w:space="0"/>
                  </w:tcBorders>
                </w:tcPr>
                <w:p>
                  <w:pPr>
                    <w:rPr>
                      <w:rFonts w:ascii="仿宋" w:hAnsi="仿宋" w:eastAsia="仿宋" w:cs="仿宋"/>
                      <w:sz w:val="24"/>
                      <w:szCs w:val="24"/>
                    </w:rPr>
                  </w:pPr>
                  <w:r>
                    <w:rPr>
                      <w:rFonts w:hint="eastAsia" w:ascii="仿宋" w:hAnsi="仿宋" w:eastAsia="仿宋" w:cs="仿宋"/>
                      <w:sz w:val="24"/>
                      <w:szCs w:val="24"/>
                    </w:rPr>
                    <w:t>笔试</w:t>
                  </w:r>
                </w:p>
              </w:tc>
              <w:tc>
                <w:tcPr>
                  <w:tcW w:w="659" w:type="pct"/>
                  <w:tcBorders>
                    <w:top w:val="single" w:color="auto" w:sz="4"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exact"/>
                <w:jc w:val="center"/>
              </w:trPr>
              <w:tc>
                <w:tcPr>
                  <w:tcW w:w="3146" w:type="pct"/>
                  <w:gridSpan w:val="4"/>
                  <w:tcBorders>
                    <w:top w:val="single" w:color="000000" w:sz="2" w:space="0"/>
                    <w:left w:val="single" w:color="000000" w:sz="2" w:space="0"/>
                    <w:bottom w:val="single" w:color="000000" w:sz="2" w:space="0"/>
                    <w:right w:val="single" w:color="000000" w:sz="2" w:space="0"/>
                  </w:tcBorders>
                  <w:vAlign w:val="center"/>
                </w:tcPr>
                <w:p>
                  <w:pPr>
                    <w:rPr>
                      <w:rFonts w:hint="eastAsia" w:ascii="仿宋" w:hAnsi="仿宋" w:eastAsia="仿宋" w:cs="仿宋"/>
                      <w:sz w:val="24"/>
                      <w:szCs w:val="24"/>
                    </w:rPr>
                  </w:pPr>
                  <w:r>
                    <w:rPr>
                      <w:rFonts w:hint="eastAsia" w:ascii="仿宋" w:hAnsi="仿宋" w:eastAsia="仿宋" w:cs="仿宋"/>
                      <w:sz w:val="24"/>
                      <w:szCs w:val="24"/>
                    </w:rPr>
                    <w:t>总学分</w:t>
                  </w:r>
                </w:p>
              </w:tc>
              <w:tc>
                <w:tcPr>
                  <w:tcW w:w="1853" w:type="pct"/>
                  <w:gridSpan w:val="3"/>
                  <w:tcBorders>
                    <w:top w:val="single" w:color="000000" w:sz="2" w:space="0"/>
                    <w:left w:val="single" w:color="000000" w:sz="2" w:space="0"/>
                    <w:bottom w:val="single" w:color="000000" w:sz="2" w:space="0"/>
                    <w:right w:val="single" w:color="000000" w:sz="2" w:space="0"/>
                  </w:tcBorders>
                  <w:vAlign w:val="center"/>
                </w:tcPr>
                <w:p>
                  <w:pPr>
                    <w:rPr>
                      <w:rFonts w:ascii="仿宋" w:hAnsi="仿宋" w:eastAsia="仿宋" w:cs="仿宋"/>
                      <w:sz w:val="24"/>
                      <w:szCs w:val="24"/>
                    </w:rPr>
                  </w:pPr>
                  <w:r>
                    <w:rPr>
                      <w:rFonts w:ascii="仿宋" w:hAnsi="仿宋" w:eastAsia="仿宋" w:cs="仿宋"/>
                      <w:sz w:val="24"/>
                      <w:szCs w:val="24"/>
                    </w:rPr>
                    <w:t>7</w:t>
                  </w:r>
                  <w:r>
                    <w:rPr>
                      <w:rFonts w:ascii="仿宋" w:hAnsi="仿宋" w:eastAsia="仿宋" w:cs="仿宋"/>
                      <w:sz w:val="24"/>
                      <w:szCs w:val="24"/>
                      <w:lang w:val="en-US"/>
                    </w:rPr>
                    <w:t>0</w:t>
                  </w:r>
                </w:p>
              </w:tc>
            </w:tr>
          </w:tbl>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五、主要课程说明</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lang w:val="en-US"/>
              </w:rPr>
              <w:t>1</w:t>
            </w:r>
            <w:r>
              <w:rPr>
                <w:rFonts w:ascii="仿宋_GB2312" w:hAnsi="仿宋_GB2312" w:eastAsia="仿宋_GB2312" w:cs="仿宋_GB2312"/>
                <w:bCs/>
                <w:sz w:val="28"/>
                <w:szCs w:val="28"/>
              </w:rPr>
              <w:t>.</w:t>
            </w:r>
            <w:r>
              <w:rPr>
                <w:rFonts w:hint="eastAsia" w:ascii="仿宋_GB2312" w:hAnsi="仿宋_GB2312" w:eastAsia="仿宋_GB2312" w:cs="仿宋_GB2312"/>
                <w:bCs/>
                <w:sz w:val="28"/>
                <w:szCs w:val="28"/>
              </w:rPr>
              <w:t>中国法制史</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中国法制史主要讲授我国自夏、商、西周至建国前法律制度的形成和发展的历史进程，分为中国法律的起源与宗法领主法的盛衰（夏、商、春秋战国时期），中国官僚制国家制定法的诞生与巩固（秦朝），中国官僚制国家制定法的成熟与完备（两汉、三国魏晋南北朝、隋唐、宋元、明朝），半殖民地半封建社会条件下的中国法制（清朝、中华民国）以及新民主主义革命根据地的法制建设五个阶段，内容包括以上各时期重要的立法思想、立法状况、法律制度和重要法律的基本内容，旨在使学生掌握我国法律制度的发展过程和重点内容，批判地吸收和借鉴历代法制中有益的东西，加深对马克思主义法学基础理论的理解。</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lang w:val="en-US"/>
              </w:rPr>
              <w:t>2</w:t>
            </w:r>
            <w:r>
              <w:rPr>
                <w:rFonts w:ascii="仿宋_GB2312" w:hAnsi="仿宋_GB2312" w:eastAsia="仿宋_GB2312" w:cs="仿宋_GB2312"/>
                <w:bCs/>
                <w:sz w:val="28"/>
                <w:szCs w:val="28"/>
              </w:rPr>
              <w:t>.</w:t>
            </w:r>
            <w:r>
              <w:rPr>
                <w:rFonts w:hint="eastAsia" w:ascii="仿宋_GB2312" w:hAnsi="仿宋_GB2312" w:eastAsia="仿宋_GB2312" w:cs="仿宋_GB2312"/>
                <w:bCs/>
                <w:sz w:val="28"/>
                <w:szCs w:val="28"/>
              </w:rPr>
              <w:t>法律职业伦理</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主要内容包括法律职业伦理的基本概念和基本知识；法律职业伦理教育的历史背景、现状和发展前景；司法实践中的法律职业伦理；法律职业伦理对法律从业者的不同要求等。课程系统全面地介绍了法律职业伦理的知识结构和相关内容，阐明了法律职业伦理教育中基本的问题，使得学生了解法律职业伦理教育的重要性。</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3.</w:t>
            </w:r>
            <w:r>
              <w:rPr>
                <w:rFonts w:hint="eastAsia" w:ascii="仿宋_GB2312" w:hAnsi="仿宋_GB2312" w:eastAsia="仿宋_GB2312" w:cs="仿宋_GB2312"/>
                <w:bCs/>
                <w:sz w:val="28"/>
                <w:szCs w:val="28"/>
              </w:rPr>
              <w:t>法律文书与律师实务写作</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主要包括文书写作理论基础；刑事文书；民事行政文书模块；其他法律文书等部分。本课程使学生比较系统地掌握法律文书的基础理论，掌握各类诉讼法律文书及其他一些常用非诉讼法律文书的写作基本技能；具有法律文书写作的融会贯通能力和运用法学理论和知识处理实际问题的能力；具备较强的法律应用类岗位适应素质，为从事法律实务奠定必要的基础。</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4.</w:t>
            </w:r>
            <w:r>
              <w:rPr>
                <w:rFonts w:hint="eastAsia" w:ascii="仿宋_GB2312" w:hAnsi="仿宋_GB2312" w:eastAsia="仿宋_GB2312" w:cs="仿宋_GB2312"/>
                <w:bCs/>
                <w:sz w:val="28"/>
                <w:szCs w:val="28"/>
              </w:rPr>
              <w:t>婚姻家庭法原理与实务</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主要包括婚姻法总论、亲属制度、结婚制度、婚姻的效力、离婚制度、离婚的效力等教学内容。通过本课程教学，使学生掌握关于婚姻、家庭、财产继承制度的基本理论知识和现行法律的具体规定，能够科学地认识和分析婚姻家庭制度的发展规律，理解我国当前婚姻家庭关系中存在的问题和发展方向；了解我国婚姻家庭制度和婚姻家庭法学的历史和现状，掌握我国现行婚姻家庭法、继承法的主要内容，并能熟练地运用所掌握的法律知识，解决现实法律问题。</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5.</w:t>
            </w:r>
            <w:r>
              <w:rPr>
                <w:rFonts w:hint="eastAsia" w:ascii="仿宋_GB2312" w:hAnsi="仿宋_GB2312" w:eastAsia="仿宋_GB2312" w:cs="仿宋_GB2312"/>
                <w:bCs/>
                <w:sz w:val="28"/>
                <w:szCs w:val="28"/>
              </w:rPr>
              <w:t>行政诉讼法</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行政诉讼法是法学专业学生的基础课程之一。通过本课程的学习，使学生掌握以行政诉讼法及其司法解释为主要内容的行政诉讼基本制度。特别是要全面掌握行政诉讼的涵义与特征、行政法律关系基本理论、行政诉讼法的基本原则；行政诉讼的受案范围；行政诉讼的管辖制度；行政诉讼参加人的种类；行政诉讼的证据制度；行政诉讼法律适用规则；行政诉讼程序制度；行政案件执行制度；行政诉讼判决、裁定与决定等主要内容。</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6.</w:t>
            </w:r>
            <w:r>
              <w:rPr>
                <w:rFonts w:hint="eastAsia" w:ascii="仿宋_GB2312" w:hAnsi="仿宋_GB2312" w:eastAsia="仿宋_GB2312" w:cs="仿宋_GB2312"/>
                <w:bCs/>
                <w:sz w:val="28"/>
                <w:szCs w:val="28"/>
              </w:rPr>
              <w:t>律师与公证制度</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课程主要包括律师制度概述、民事诉讼中的律师业务、刑事诉讼中的律师业务、行政诉讼中的律师业务、其他律师业务；公证等教学内容。通过本课程学习，学生能掌握律师与公证实务基本理论和专业知识，了解该学科前沿理论及其研究动态，具有自主学习和研究能力，具备运用律师与公证实务和其他相关知识发现问题、分析问题和处理问题的能力。</w:t>
            </w:r>
          </w:p>
          <w:p>
            <w:pPr>
              <w:snapToGrid w:val="0"/>
              <w:spacing w:line="360" w:lineRule="auto"/>
              <w:ind w:firstLine="560" w:firstLineChars="200"/>
              <w:jc w:val="left"/>
              <w:rPr>
                <w:rFonts w:ascii="仿宋_GB2312" w:hAnsi="仿宋_GB2312" w:eastAsia="仿宋_GB2312" w:cs="仿宋_GB2312"/>
                <w:bCs/>
                <w:sz w:val="28"/>
                <w:szCs w:val="28"/>
              </w:rPr>
            </w:pPr>
            <w:r>
              <w:rPr>
                <w:rFonts w:ascii="仿宋_GB2312" w:hAnsi="仿宋_GB2312" w:eastAsia="仿宋_GB2312" w:cs="仿宋_GB2312"/>
                <w:bCs/>
                <w:sz w:val="28"/>
                <w:szCs w:val="28"/>
              </w:rPr>
              <w:t>7.</w:t>
            </w:r>
            <w:r>
              <w:rPr>
                <w:rFonts w:hint="eastAsia" w:ascii="仿宋_GB2312" w:hAnsi="仿宋_GB2312" w:eastAsia="仿宋_GB2312" w:cs="仿宋_GB2312"/>
                <w:bCs/>
                <w:sz w:val="28"/>
                <w:szCs w:val="28"/>
              </w:rPr>
              <w:t>经济法学</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课程主要包括经济法总论、市场行为规制和宏观经济调控等教学内容。通过课程教学，力求使学生掌握经济法的基本概念、基本理论和基本技能，熟悉关于经济法主体、反垄断、反不正当竞争、消费者权益保护、产品质量、中央银行、税收的基本概念和基本理论，并在此基础上训练学生运用相关知识解决现实问题的能力，使理论真正应用于实践，同时引导学生关注并研究经济法理论和实践方面的最新发展动向。</w:t>
            </w:r>
          </w:p>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六、实践性环节学习考核要求</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无。</w:t>
            </w:r>
          </w:p>
          <w:p>
            <w:pPr>
              <w:snapToGrid w:val="0"/>
              <w:spacing w:line="360" w:lineRule="auto"/>
              <w:ind w:firstLine="562" w:firstLineChars="200"/>
              <w:jc w:val="left"/>
              <w:rPr>
                <w:rFonts w:ascii="仿宋_GB2312" w:hAnsi="仿宋_GB2312" w:eastAsia="仿宋_GB2312" w:cs="仿宋_GB2312"/>
                <w:sz w:val="28"/>
                <w:szCs w:val="28"/>
              </w:rPr>
            </w:pPr>
            <w:r>
              <w:rPr>
                <w:rFonts w:hint="eastAsia" w:ascii="仿宋_GB2312" w:hAnsi="仿宋_GB2312" w:eastAsia="仿宋_GB2312" w:cs="仿宋_GB2312"/>
                <w:b/>
                <w:color w:val="000000"/>
                <w:sz w:val="28"/>
                <w:szCs w:val="28"/>
              </w:rPr>
              <w:t>七、其他说明</w:t>
            </w:r>
          </w:p>
          <w:p>
            <w:pPr>
              <w:adjustRightInd w:val="0"/>
              <w:snapToGrid w:val="0"/>
              <w:spacing w:line="360" w:lineRule="auto"/>
              <w:ind w:firstLine="562"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sz w:val="28"/>
                <w:szCs w:val="28"/>
              </w:rPr>
              <w:t>接续本科专业举例：</w:t>
            </w:r>
            <w:r>
              <w:rPr>
                <w:rFonts w:hint="eastAsia" w:ascii="仿宋_GB2312" w:hAnsi="仿宋_GB2312" w:eastAsia="仿宋_GB2312" w:cs="仿宋_GB2312"/>
                <w:sz w:val="28"/>
                <w:szCs w:val="28"/>
              </w:rPr>
              <w:t>法学</w:t>
            </w:r>
            <w:r>
              <w:rPr>
                <w:rFonts w:hint="eastAsia" w:ascii="仿宋_GB2312" w:hAnsi="仿宋_GB2312" w:eastAsia="仿宋_GB2312" w:cs="仿宋_GB2312"/>
                <w:sz w:val="28"/>
                <w:szCs w:val="28"/>
                <w:lang w:eastAsia="zh-CN"/>
              </w:rPr>
              <w:t>。</w:t>
            </w:r>
          </w:p>
          <w:p>
            <w:pPr>
              <w:pStyle w:val="4"/>
              <w:jc w:val="both"/>
              <w:rPr>
                <w:lang w:val="en-US"/>
              </w:rPr>
            </w:pPr>
          </w:p>
        </w:tc>
      </w:tr>
    </w:tbl>
    <w:p>
      <w:pPr>
        <w:pStyle w:val="4"/>
        <w:rPr>
          <w:lang w:val="en-US"/>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t>法律事务（专科）专业课程设置与学分</w:t>
      </w:r>
    </w:p>
    <w:p>
      <w:pPr>
        <w:pStyle w:val="4"/>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500" w:lineRule="exact"/>
        <w:ind w:left="0" w:leftChars="0" w:firstLine="0" w:firstLineChars="0"/>
        <w:jc w:val="center"/>
        <w:textAlignment w:val="auto"/>
        <w:rPr>
          <w:rFonts w:hint="eastAsia" w:ascii="Times New Roman" w:hAnsi="Times New Roman" w:eastAsia="黑体" w:cs="黑体"/>
          <w:b w:val="0"/>
          <w:bCs w:val="0"/>
          <w:color w:val="auto"/>
          <w:kern w:val="2"/>
          <w:sz w:val="24"/>
          <w:szCs w:val="28"/>
          <w:lang w:val="en-US" w:eastAsia="zh-CN" w:bidi="ar-SA"/>
        </w:rPr>
      </w:pPr>
      <w:r>
        <w:rPr>
          <w:rFonts w:hint="eastAsia" w:ascii="Times New Roman" w:hAnsi="Times New Roman" w:eastAsia="黑体" w:cs="黑体"/>
          <w:color w:val="auto"/>
          <w:kern w:val="0"/>
          <w:sz w:val="24"/>
          <w:szCs w:val="22"/>
          <w:lang w:val="en-US" w:eastAsia="zh-CN" w:bidi="ar-SA"/>
        </w:rPr>
        <w:t>专业层次：专科</w:t>
      </w:r>
      <w:r>
        <w:rPr>
          <w:rFonts w:hint="eastAsia" w:ascii="Times New Roman" w:hAnsi="Times New Roman" w:eastAsia="黑体" w:cs="黑体"/>
          <w:b w:val="0"/>
          <w:bCs w:val="0"/>
          <w:color w:val="auto"/>
          <w:kern w:val="2"/>
          <w:sz w:val="24"/>
          <w:szCs w:val="28"/>
          <w:lang w:val="en-US" w:eastAsia="zh-CN" w:bidi="ar-SA"/>
        </w:rPr>
        <w:t xml:space="preserve">                               </w:t>
      </w:r>
      <w:r>
        <w:rPr>
          <w:rFonts w:hint="eastAsia" w:ascii="Times New Roman" w:hAnsi="Times New Roman" w:eastAsia="黑体" w:cs="黑体"/>
          <w:color w:val="auto"/>
          <w:kern w:val="0"/>
          <w:sz w:val="24"/>
          <w:szCs w:val="22"/>
          <w:lang w:val="en-US" w:eastAsia="zh-CN" w:bidi="ar-SA"/>
        </w:rPr>
        <w:t>专业代码：580401</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99"/>
        <w:gridCol w:w="1113"/>
        <w:gridCol w:w="5665"/>
        <w:gridCol w:w="1042"/>
        <w:gridCol w:w="102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20" w:hRule="atLeast"/>
          <w:jc w:val="center"/>
        </w:trPr>
        <w:tc>
          <w:tcPr>
            <w:tcW w:w="41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lang w:val="en-US" w:eastAsia="zh-CN"/>
              </w:rPr>
              <w:t>序号</w:t>
            </w:r>
          </w:p>
        </w:tc>
        <w:tc>
          <w:tcPr>
            <w:tcW w:w="57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lang w:val="en-US" w:eastAsia="zh-CN"/>
              </w:rPr>
              <w:t>课码</w:t>
            </w:r>
          </w:p>
        </w:tc>
        <w:tc>
          <w:tcPr>
            <w:tcW w:w="293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lang w:val="en-US" w:eastAsia="zh-CN"/>
              </w:rPr>
              <w:t>课程名称</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lang w:val="en-US" w:eastAsia="zh-CN"/>
              </w:rPr>
              <w:t>学分</w:t>
            </w:r>
          </w:p>
        </w:tc>
        <w:tc>
          <w:tcPr>
            <w:tcW w:w="531"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41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57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00242</w:t>
            </w:r>
          </w:p>
        </w:tc>
        <w:tc>
          <w:tcPr>
            <w:tcW w:w="293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民法学</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53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99" w:hRule="atLeast"/>
          <w:jc w:val="center"/>
        </w:trPr>
        <w:tc>
          <w:tcPr>
            <w:tcW w:w="41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57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00243</w:t>
            </w:r>
          </w:p>
        </w:tc>
        <w:tc>
          <w:tcPr>
            <w:tcW w:w="293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民事诉讼法学</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53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99" w:hRule="atLeast"/>
          <w:jc w:val="center"/>
        </w:trPr>
        <w:tc>
          <w:tcPr>
            <w:tcW w:w="41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57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00245</w:t>
            </w:r>
          </w:p>
        </w:tc>
        <w:tc>
          <w:tcPr>
            <w:tcW w:w="293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刑法学</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53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99" w:hRule="atLeast"/>
          <w:jc w:val="center"/>
        </w:trPr>
        <w:tc>
          <w:tcPr>
            <w:tcW w:w="41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7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00260</w:t>
            </w:r>
          </w:p>
        </w:tc>
        <w:tc>
          <w:tcPr>
            <w:tcW w:w="293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刑事诉讼法学</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3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99" w:hRule="atLeast"/>
          <w:jc w:val="center"/>
        </w:trPr>
        <w:tc>
          <w:tcPr>
            <w:tcW w:w="41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57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05677</w:t>
            </w:r>
          </w:p>
        </w:tc>
        <w:tc>
          <w:tcPr>
            <w:tcW w:w="293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法理学</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53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99" w:hRule="atLeast"/>
          <w:jc w:val="center"/>
        </w:trPr>
        <w:tc>
          <w:tcPr>
            <w:tcW w:w="41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7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05679</w:t>
            </w:r>
          </w:p>
        </w:tc>
        <w:tc>
          <w:tcPr>
            <w:tcW w:w="293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宪法学</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3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41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57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03706</w:t>
            </w:r>
          </w:p>
        </w:tc>
        <w:tc>
          <w:tcPr>
            <w:tcW w:w="293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思想道德修养与法律基础</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53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41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57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12656</w:t>
            </w:r>
          </w:p>
        </w:tc>
        <w:tc>
          <w:tcPr>
            <w:tcW w:w="293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毛泽东思想和中国特色社会主义理论体系概论</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31"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41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57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00214</w:t>
            </w:r>
          </w:p>
        </w:tc>
        <w:tc>
          <w:tcPr>
            <w:tcW w:w="293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法律文书与律师实务写作</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3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41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57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00223</w:t>
            </w:r>
          </w:p>
        </w:tc>
        <w:tc>
          <w:tcPr>
            <w:tcW w:w="293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中国法制史</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53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41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57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00924</w:t>
            </w:r>
          </w:p>
        </w:tc>
        <w:tc>
          <w:tcPr>
            <w:tcW w:w="293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婚姻家庭法原理与实务</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3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41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57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06909</w:t>
            </w:r>
          </w:p>
        </w:tc>
        <w:tc>
          <w:tcPr>
            <w:tcW w:w="293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行政诉讼法</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53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99" w:hRule="atLeast"/>
          <w:jc w:val="center"/>
        </w:trPr>
        <w:tc>
          <w:tcPr>
            <w:tcW w:w="41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57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07790</w:t>
            </w:r>
          </w:p>
        </w:tc>
        <w:tc>
          <w:tcPr>
            <w:tcW w:w="293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经济法学</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3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41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57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13532</w:t>
            </w:r>
          </w:p>
        </w:tc>
        <w:tc>
          <w:tcPr>
            <w:tcW w:w="293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法律职业伦理</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53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414"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576"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14005</w:t>
            </w:r>
          </w:p>
        </w:tc>
        <w:tc>
          <w:tcPr>
            <w:tcW w:w="2936" w:type="pct"/>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律师与公证制度</w:t>
            </w:r>
          </w:p>
        </w:tc>
        <w:tc>
          <w:tcPr>
            <w:tcW w:w="540" w:type="pct"/>
            <w:tcBorders>
              <w:tl2br w:val="nil"/>
              <w:tr2bl w:val="nil"/>
            </w:tcBorders>
            <w:shd w:val="clear" w:color="auto" w:fill="auto"/>
            <w:noWrap/>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531" w:type="pct"/>
            <w:tcBorders>
              <w:tl2br w:val="nil"/>
              <w:tr2bl w:val="nil"/>
            </w:tcBorders>
            <w:shd w:val="clear" w:color="auto" w:fill="auto"/>
            <w:noWrap/>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i w:val="0"/>
                <w:iCs w:val="0"/>
                <w:color w:val="auto"/>
                <w:sz w:val="18"/>
                <w:szCs w:val="18"/>
                <w:u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42" w:hRule="atLeast"/>
          <w:jc w:val="center"/>
        </w:trPr>
        <w:tc>
          <w:tcPr>
            <w:tcW w:w="991" w:type="pct"/>
            <w:gridSpan w:val="2"/>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i w:val="0"/>
                <w:iCs w:val="0"/>
                <w:color w:val="auto"/>
                <w:kern w:val="0"/>
                <w:sz w:val="18"/>
                <w:szCs w:val="18"/>
                <w:u w:val="none"/>
                <w:lang w:val="en-US" w:eastAsia="zh-CN" w:bidi="ar"/>
              </w:rPr>
              <w:t>合     计</w:t>
            </w:r>
          </w:p>
        </w:tc>
        <w:tc>
          <w:tcPr>
            <w:tcW w:w="4008" w:type="pct"/>
            <w:gridSpan w:val="3"/>
            <w:tcBorders>
              <w:tl2br w:val="nil"/>
              <w:tr2bl w:val="nil"/>
            </w:tcBorders>
            <w:shd w:val="clear" w:color="auto" w:fill="auto"/>
            <w:noWrap/>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i w:val="0"/>
                <w:iCs w:val="0"/>
                <w:color w:val="auto"/>
                <w:kern w:val="0"/>
                <w:sz w:val="18"/>
                <w:szCs w:val="18"/>
                <w:u w:val="none"/>
                <w:lang w:val="en-US" w:eastAsia="zh-CN" w:bidi="ar"/>
              </w:rPr>
              <w:t>70学分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t>法律事务（专科）专业考试计划对应衔接表</w:t>
      </w:r>
    </w:p>
    <w:tbl>
      <w:tblPr>
        <w:tblStyle w:val="5"/>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21"/>
        <w:gridCol w:w="764"/>
        <w:gridCol w:w="2429"/>
        <w:gridCol w:w="641"/>
        <w:gridCol w:w="675"/>
        <w:gridCol w:w="706"/>
        <w:gridCol w:w="2480"/>
        <w:gridCol w:w="646"/>
        <w:gridCol w:w="68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2309"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2309"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法律（专科），</w:t>
            </w:r>
            <w:r>
              <w:rPr>
                <w:rFonts w:hint="default" w:ascii="Times New Roman" w:hAnsi="Times New Roman" w:eastAsia="黑体" w:cs="Times New Roman"/>
                <w:color w:val="auto"/>
                <w:kern w:val="0"/>
                <w:sz w:val="18"/>
                <w:szCs w:val="18"/>
                <w:lang w:val="en-US" w:eastAsia="zh-CN"/>
              </w:rPr>
              <w:t>Z</w:t>
            </w:r>
            <w:r>
              <w:rPr>
                <w:rFonts w:hint="eastAsia" w:ascii="Times New Roman" w:hAnsi="Times New Roman" w:eastAsia="黑体" w:cs="黑体"/>
                <w:color w:val="auto"/>
                <w:kern w:val="0"/>
                <w:sz w:val="18"/>
                <w:szCs w:val="18"/>
                <w:lang w:val="en-US" w:eastAsia="zh-CN"/>
              </w:rPr>
              <w:t>030112</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法律事务（专科），</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580401</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03706</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思想道德修养与法律基础</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03706</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思想道德修养与法律基础</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12656</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毛泽东思想和中国特色社会主义理论体系概论</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12656</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毛泽东思想和中国特色社会主义理论体系概论</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05679</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宪法学</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05679</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宪法学</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05677</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法理学</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7</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05677</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法理学</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7</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00223</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中国法制史</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00223</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中国法制史</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00242</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民法学</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7</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00242</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民法学</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7</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00245</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刑法学</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7</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00245</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刑法学</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7</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00243</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民事诉讼法学</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00243</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民事诉讼法学</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9</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00260</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刑事诉讼法学</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00260</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刑事诉讼法学</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00261</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行政法学</w:t>
            </w:r>
          </w:p>
        </w:tc>
        <w:tc>
          <w:tcPr>
            <w:tcW w:w="330" w:type="pct"/>
            <w:tcBorders>
              <w:tl2br w:val="nil"/>
              <w:tr2bl w:val="nil"/>
            </w:tcBorders>
            <w:vAlign w:val="top"/>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06909</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行政诉讼法</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11</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00244</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经济法概论</w:t>
            </w:r>
          </w:p>
        </w:tc>
        <w:tc>
          <w:tcPr>
            <w:tcW w:w="330" w:type="pct"/>
            <w:tcBorders>
              <w:tl2br w:val="nil"/>
              <w:tr2bl w:val="nil"/>
            </w:tcBorders>
            <w:vAlign w:val="top"/>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07790</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经济法学</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04729</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大学语文</w:t>
            </w:r>
          </w:p>
        </w:tc>
        <w:tc>
          <w:tcPr>
            <w:tcW w:w="330" w:type="pct"/>
            <w:tcBorders>
              <w:tl2br w:val="nil"/>
              <w:tr2bl w:val="nil"/>
            </w:tcBorders>
            <w:vAlign w:val="top"/>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00214</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法律文书与律师实务写作</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00247</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国际法</w:t>
            </w:r>
          </w:p>
        </w:tc>
        <w:tc>
          <w:tcPr>
            <w:tcW w:w="330" w:type="pct"/>
            <w:tcBorders>
              <w:tl2br w:val="nil"/>
              <w:tr2bl w:val="nil"/>
            </w:tcBorders>
            <w:vAlign w:val="top"/>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13532</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法律职业伦理</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22"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3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00924</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婚姻家庭法原理与实务</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30"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15</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14005</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律师与公证制度</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3</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15"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sectPr>
          <w:pgSz w:w="11906" w:h="16838"/>
          <w:pgMar w:top="1440" w:right="1236" w:bottom="1440" w:left="1236" w:header="851" w:footer="992" w:gutter="0"/>
          <w:cols w:space="425" w:num="1"/>
          <w:docGrid w:type="lines" w:linePitch="312" w:charSpace="0"/>
        </w:sect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t>法律事务（专科）专业考试计划对应衔接表</w:t>
      </w:r>
    </w:p>
    <w:tbl>
      <w:tblPr>
        <w:tblStyle w:val="5"/>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21"/>
        <w:gridCol w:w="764"/>
        <w:gridCol w:w="2429"/>
        <w:gridCol w:w="641"/>
        <w:gridCol w:w="675"/>
        <w:gridCol w:w="706"/>
        <w:gridCol w:w="2480"/>
        <w:gridCol w:w="646"/>
        <w:gridCol w:w="68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2309"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2309"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法律（专科），</w:t>
            </w:r>
            <w:r>
              <w:rPr>
                <w:rFonts w:hint="eastAsia" w:eastAsia="黑体" w:cs="黑体"/>
                <w:color w:val="auto"/>
                <w:kern w:val="0"/>
                <w:sz w:val="18"/>
                <w:szCs w:val="18"/>
                <w:lang w:val="en-US" w:eastAsia="zh-CN"/>
              </w:rPr>
              <w:t>C</w:t>
            </w:r>
            <w:r>
              <w:rPr>
                <w:rFonts w:hint="eastAsia" w:ascii="Times New Roman" w:hAnsi="Times New Roman" w:eastAsia="黑体" w:cs="黑体"/>
                <w:color w:val="auto"/>
                <w:kern w:val="0"/>
                <w:sz w:val="18"/>
                <w:szCs w:val="18"/>
                <w:lang w:val="en-US" w:eastAsia="zh-CN"/>
              </w:rPr>
              <w:t>030112</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法律事务（专科），</w:t>
            </w:r>
            <w:r>
              <w:rPr>
                <w:rFonts w:hint="eastAsia" w:eastAsia="黑体" w:cs="黑体"/>
                <w:color w:val="auto"/>
                <w:kern w:val="0"/>
                <w:sz w:val="18"/>
                <w:szCs w:val="18"/>
                <w:lang w:val="en-US" w:eastAsia="zh-CN"/>
              </w:rPr>
              <w:t>H</w:t>
            </w:r>
            <w:r>
              <w:rPr>
                <w:rFonts w:hint="eastAsia" w:ascii="Times New Roman" w:hAnsi="Times New Roman" w:eastAsia="黑体" w:cs="黑体"/>
                <w:color w:val="auto"/>
                <w:kern w:val="0"/>
                <w:sz w:val="18"/>
                <w:szCs w:val="18"/>
                <w:lang w:val="en-US" w:eastAsia="zh-CN"/>
              </w:rPr>
              <w:t>580401</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03706</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思想道德修养与法律基础</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03706</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思想道德修养与法律基础</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12656</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毛泽东思想和中国特色社会主义理论体系概论</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12656</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毛泽东思想和中国特色社会主义理论体系概论</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05679</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宪法学</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05679</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宪法学</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05677</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法理学</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7</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05677</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法理学</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7</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00223</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中国法制史</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00223</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中国法制史</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00242</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民法学</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7</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00242</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民法学</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7</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00245</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刑法学</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7</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00245</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刑法学</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7</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00243</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民事诉讼法学</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00243</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民事诉讼法学</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9</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00260</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刑事诉讼法学</w:t>
            </w:r>
          </w:p>
        </w:tc>
        <w:tc>
          <w:tcPr>
            <w:tcW w:w="33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00260</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刑事诉讼法学</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00261</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行政法学</w:t>
            </w:r>
          </w:p>
        </w:tc>
        <w:tc>
          <w:tcPr>
            <w:tcW w:w="330" w:type="pct"/>
            <w:tcBorders>
              <w:tl2br w:val="nil"/>
              <w:tr2bl w:val="nil"/>
            </w:tcBorders>
            <w:vAlign w:val="top"/>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06909</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行政诉讼法</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22"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11</w:t>
            </w:r>
          </w:p>
        </w:tc>
        <w:tc>
          <w:tcPr>
            <w:tcW w:w="396"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00244</w:t>
            </w:r>
          </w:p>
        </w:tc>
        <w:tc>
          <w:tcPr>
            <w:tcW w:w="1259"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经济法概论</w:t>
            </w:r>
          </w:p>
        </w:tc>
        <w:tc>
          <w:tcPr>
            <w:tcW w:w="330" w:type="pct"/>
            <w:tcBorders>
              <w:bottom w:val="single" w:color="auto" w:sz="12" w:space="0"/>
              <w:tl2br w:val="nil"/>
              <w:tr2bl w:val="nil"/>
            </w:tcBorders>
            <w:vAlign w:val="top"/>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0"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366"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07790</w:t>
            </w:r>
          </w:p>
        </w:tc>
        <w:tc>
          <w:tcPr>
            <w:tcW w:w="1285"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经济法学</w:t>
            </w:r>
          </w:p>
        </w:tc>
        <w:tc>
          <w:tcPr>
            <w:tcW w:w="332" w:type="pct"/>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4" w:type="pct"/>
            <w:vMerge w:val="continue"/>
            <w:tcBorders>
              <w:bottom w:val="single" w:color="auto" w:sz="12" w:space="0"/>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322"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96"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04729</w:t>
            </w:r>
          </w:p>
        </w:tc>
        <w:tc>
          <w:tcPr>
            <w:tcW w:w="1259"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大学语文</w:t>
            </w:r>
          </w:p>
        </w:tc>
        <w:tc>
          <w:tcPr>
            <w:tcW w:w="330" w:type="pct"/>
            <w:tcBorders>
              <w:top w:val="single" w:color="auto" w:sz="12" w:space="0"/>
            </w:tcBorders>
            <w:vAlign w:val="top"/>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0"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66"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00214</w:t>
            </w:r>
          </w:p>
        </w:tc>
        <w:tc>
          <w:tcPr>
            <w:tcW w:w="1285"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法律文书与律师实务写作</w:t>
            </w:r>
          </w:p>
        </w:tc>
        <w:tc>
          <w:tcPr>
            <w:tcW w:w="332" w:type="pc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4" w:type="pct"/>
            <w:vMerge w:val="restart"/>
            <w:tcBorders>
              <w:top w:val="single" w:color="auto" w:sz="12" w:space="0"/>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22"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9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00247</w:t>
            </w:r>
          </w:p>
        </w:tc>
        <w:tc>
          <w:tcPr>
            <w:tcW w:w="1259"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国际法</w:t>
            </w:r>
          </w:p>
        </w:tc>
        <w:tc>
          <w:tcPr>
            <w:tcW w:w="330" w:type="pct"/>
            <w:vAlign w:val="top"/>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6</w:t>
            </w:r>
          </w:p>
        </w:tc>
        <w:tc>
          <w:tcPr>
            <w:tcW w:w="35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6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13532</w:t>
            </w:r>
          </w:p>
        </w:tc>
        <w:tc>
          <w:tcPr>
            <w:tcW w:w="128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法律职业伦理</w:t>
            </w:r>
          </w:p>
        </w:tc>
        <w:tc>
          <w:tcPr>
            <w:tcW w:w="332"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3</w:t>
            </w:r>
          </w:p>
        </w:tc>
        <w:tc>
          <w:tcPr>
            <w:tcW w:w="35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22" w:type="pct"/>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59"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30"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6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00924</w:t>
            </w:r>
          </w:p>
        </w:tc>
        <w:tc>
          <w:tcPr>
            <w:tcW w:w="128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婚姻家庭法原理与实务</w:t>
            </w:r>
          </w:p>
        </w:tc>
        <w:tc>
          <w:tcPr>
            <w:tcW w:w="332"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4</w:t>
            </w:r>
          </w:p>
        </w:tc>
        <w:tc>
          <w:tcPr>
            <w:tcW w:w="35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22"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59"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30" w:type="pct"/>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0"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15</w:t>
            </w:r>
          </w:p>
        </w:tc>
        <w:tc>
          <w:tcPr>
            <w:tcW w:w="366"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14005</w:t>
            </w:r>
          </w:p>
        </w:tc>
        <w:tc>
          <w:tcPr>
            <w:tcW w:w="1285"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律师与公证制度</w:t>
            </w:r>
          </w:p>
        </w:tc>
        <w:tc>
          <w:tcPr>
            <w:tcW w:w="332" w:type="pct"/>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rPr>
              <w:t>3</w:t>
            </w:r>
          </w:p>
        </w:tc>
        <w:tc>
          <w:tcPr>
            <w:tcW w:w="354" w:type="pct"/>
            <w:vMerge w:val="continue"/>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15" w:hRule="atLeast"/>
          <w:jc w:val="center"/>
        </w:trPr>
        <w:tc>
          <w:tcPr>
            <w:tcW w:w="5000" w:type="pct"/>
            <w:gridSpan w:val="9"/>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bookmarkStart w:id="0" w:name="_GoBack"/>
      <w:bookmarkEnd w:id="0"/>
      <w:r>
        <w:rPr>
          <w:rFonts w:hint="eastAsia" w:ascii="微软雅黑" w:hAnsi="微软雅黑" w:eastAsia="微软雅黑" w:cs="微软雅黑"/>
          <w:sz w:val="44"/>
          <w:szCs w:val="44"/>
          <w:lang w:val="en-US" w:eastAsia="zh-CN"/>
        </w:rPr>
        <w:t>法律事务（专科）专业教材明细表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96"/>
        <w:gridCol w:w="1320"/>
        <w:gridCol w:w="1050"/>
        <w:gridCol w:w="1245"/>
        <w:gridCol w:w="2265"/>
        <w:gridCol w:w="2850"/>
        <w:gridCol w:w="1185"/>
        <w:gridCol w:w="1845"/>
        <w:gridCol w:w="131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580401</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法律事务</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00242</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民法学</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民法学</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郭明瑞、房绍坤</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580401</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法律事务</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00243</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民事诉讼法学</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民事诉讼法学</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潘剑锋</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2016年版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580401</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法律事务</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00245</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刑法学</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刑法学</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张明楷</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580401</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法律事务</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00260</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刑事诉讼法学</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刑事诉讼法学</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汪建成</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580401</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法律事务</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05677</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法理学</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法理学</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周旺生</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580401</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法律事务</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05679</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宪法学</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宪法学</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胡锦光</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580401</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法律事务</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03706</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思想道德修养与法律基础自学考试学习读本</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刘瑞复、左鹏</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580401</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法律事务</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12656</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毛泽东思想和中国特色社会主义理论体系概论自学考试学习读本</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孙蚌珠、冯雅新</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580401</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法律事务</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00214</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法律文书与律师实务写作</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法律文书写作</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刘金华</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580401</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法律事务</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00223</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中国法制史</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中国法制史</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朱勇</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580401</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法律事务</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00924</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婚姻家庭法原理与实务</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婚姻家庭继承法</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房绍坤</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580401</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法律事务</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06909</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行政诉讼法</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行政诉讼法</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何海波</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法律出版社</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580401</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法律事务</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07790</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经济法学</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经济法学</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薛克鹏</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中国政法大学出版社</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580401</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法律事务</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13532</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法律职业伦理</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法律职业伦理</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李本森</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580401</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法律事务</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14005</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律师与公证制度</w:t>
            </w:r>
          </w:p>
        </w:tc>
        <w:tc>
          <w:tcPr>
            <w:tcW w:w="10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公证与律师制度</w:t>
            </w:r>
          </w:p>
        </w:tc>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马宏俊</w:t>
            </w:r>
          </w:p>
        </w:tc>
        <w:tc>
          <w:tcPr>
            <w:tcW w:w="6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2010年版</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80272EA-C2DA-4D21-A4CE-744D26E2792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42334E7-2988-4074-A416-EDAD3214022B}"/>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A00002BF" w:usb1="38CF7CFA" w:usb2="00082016"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embedRegular r:id="rId3" w:fontKey="{BC35382F-A5FE-439D-9018-FB5CA2C7BC79}"/>
  </w:font>
  <w:font w:name="方正黑体_GBK">
    <w:panose1 w:val="03000509000000000000"/>
    <w:charset w:val="86"/>
    <w:family w:val="script"/>
    <w:pitch w:val="default"/>
    <w:sig w:usb0="00000001" w:usb1="080E0000" w:usb2="00000000" w:usb3="00000000" w:csb0="00040000" w:csb1="00000000"/>
    <w:embedRegular r:id="rId4" w:fontKey="{ED922825-94AA-49C4-980E-3D64A8923547}"/>
  </w:font>
  <w:font w:name="楷体_GB2312">
    <w:panose1 w:val="02010609030101010101"/>
    <w:charset w:val="86"/>
    <w:family w:val="modern"/>
    <w:pitch w:val="default"/>
    <w:sig w:usb0="00000001" w:usb1="080E0000" w:usb2="00000000" w:usb3="00000000" w:csb0="00040000" w:csb1="00000000"/>
    <w:embedRegular r:id="rId5" w:fontKey="{0F99E91B-FE76-432C-A2D6-63EFF9405C04}"/>
  </w:font>
  <w:font w:name="微软雅黑">
    <w:panose1 w:val="020B0503020204020204"/>
    <w:charset w:val="86"/>
    <w:family w:val="auto"/>
    <w:pitch w:val="default"/>
    <w:sig w:usb0="80000287" w:usb1="2ACF3C50" w:usb2="00000016" w:usb3="00000000" w:csb0="0004001F" w:csb1="00000000"/>
    <w:embedRegular r:id="rId6" w:fontKey="{5DD5BA2D-AE6F-455D-8CD0-0CF46549380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127516FD"/>
    <w:rsid w:val="17CD08C0"/>
    <w:rsid w:val="44BC29F6"/>
    <w:rsid w:val="4E174E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9"/>
    <w:pPr>
      <w:spacing w:before="60" w:beforeAutospacing="1" w:afterAutospacing="1"/>
      <w:outlineLvl w:val="0"/>
    </w:pPr>
    <w:rPr>
      <w:rFonts w:ascii="宋体" w:hAnsi="宋体" w:cs="Times New Roman"/>
      <w:b/>
      <w:bCs/>
      <w:kern w:val="44"/>
      <w:sz w:val="44"/>
      <w:szCs w:val="48"/>
      <w:lang w:val="en-US"/>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2023-10-29T03:08:00Z</dcterms:created>
  <dc:creator>Administrator</dc:creator>
  <cp:lastModifiedBy>淡定</cp:lastModifiedBy>
  <dcterms:modified xsi:type="dcterms:W3CDTF">2023-10-29T08:06:06Z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8E12BF5A3D234064B84FA35BE83A1C50_12</vt:lpwstr>
  </property>
</Properties>
</file>