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46B35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6E9DEC86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工商企业管理专业</w:t>
      </w:r>
    </w:p>
    <w:p w14:paraId="46E503B1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“供应链管理(实践)  课程代码：13676”</w:t>
      </w:r>
    </w:p>
    <w:p w14:paraId="3C476D5C">
      <w:pPr>
        <w:spacing w:line="360" w:lineRule="auto"/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bookmarkStart w:id="0" w:name="OLE_LINK120"/>
      <w:bookmarkStart w:id="1" w:name="OLE_LINK118"/>
      <w:bookmarkStart w:id="2" w:name="OLE_LINK119"/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企业供应链管理业务实践分析报告</w:t>
      </w:r>
      <w:bookmarkEnd w:id="0"/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</w:t>
      </w:r>
      <w:bookmarkEnd w:id="1"/>
      <w:bookmarkEnd w:id="2"/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考生填写）</w:t>
      </w:r>
    </w:p>
    <w:p w14:paraId="57297EA9">
      <w:pPr>
        <w:jc w:val="center"/>
        <w:rPr>
          <w:rFonts w:ascii="楷体" w:hAnsi="楷体" w:eastAsia="楷体" w:cs="楷体"/>
          <w:b/>
          <w:bCs/>
          <w:sz w:val="28"/>
          <w:szCs w:val="28"/>
        </w:rPr>
      </w:pPr>
    </w:p>
    <w:tbl>
      <w:tblPr>
        <w:tblStyle w:val="4"/>
        <w:tblW w:w="8837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1847"/>
      </w:tblGrid>
      <w:tr w14:paraId="6E49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4E6AA08F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4A97460E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03909C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108E553E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090F5D65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1847" w:type="dxa"/>
            <w:shd w:val="clear" w:color="auto" w:fill="auto"/>
          </w:tcPr>
          <w:p w14:paraId="5AF61E60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0626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shd w:val="clear" w:color="auto" w:fill="auto"/>
            <w:vAlign w:val="center"/>
          </w:tcPr>
          <w:p w14:paraId="402D3C8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报告分析企业名称</w:t>
            </w:r>
          </w:p>
        </w:tc>
        <w:tc>
          <w:tcPr>
            <w:tcW w:w="7442" w:type="dxa"/>
            <w:gridSpan w:val="5"/>
            <w:shd w:val="clear" w:color="auto" w:fill="auto"/>
            <w:vAlign w:val="center"/>
          </w:tcPr>
          <w:p w14:paraId="7B781518">
            <w:pPr>
              <w:spacing w:line="360" w:lineRule="auto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</w:tbl>
    <w:p w14:paraId="4BD49E9A">
      <w:pPr>
        <w:spacing w:line="360" w:lineRule="auto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一、分析报告整体要求：</w:t>
      </w:r>
    </w:p>
    <w:p w14:paraId="3908320B">
      <w:pPr>
        <w:spacing w:line="30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告应基于一个真实或高度仿真的企业案例，学生需选择一个特定角色（如：采购经理、销售运营主管、物流工程师、供应链整合专员等）的视角，分析和设计其为企业开展采购、销售、库存及存货系统管理所做的决策与优化方案。</w:t>
      </w:r>
    </w:p>
    <w:p w14:paraId="4B738D26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46CA9DCC">
      <w:pPr>
        <w:spacing w:line="360" w:lineRule="auto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二、分析报告各部分具体要求：</w:t>
      </w:r>
    </w:p>
    <w:p w14:paraId="524A72A2">
      <w:pPr>
        <w:spacing w:line="300" w:lineRule="auto"/>
        <w:ind w:left="0" w:leftChars="0" w:firstLine="422" w:firstLineChars="175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采购业务分析</w:t>
      </w:r>
      <w:r>
        <w:rPr>
          <w:rFonts w:hint="eastAsia" w:ascii="宋体" w:hAnsi="宋体" w:eastAsia="宋体" w:cs="宋体"/>
          <w:sz w:val="24"/>
          <w:szCs w:val="24"/>
        </w:rPr>
        <w:t>（请用不少于1500字分析该企业的采购活动，并提出具有成本效益和风险抵御能力的优化方案）</w:t>
      </w:r>
    </w:p>
    <w:p w14:paraId="3B4A7AD1">
      <w:pPr>
        <w:ind w:left="0" w:leftChars="0" w:firstLine="422" w:firstLineChars="175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E13E62E">
      <w:pPr>
        <w:spacing w:line="300" w:lineRule="auto"/>
        <w:ind w:left="0" w:leftChars="0" w:firstLine="422" w:firstLineChars="175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销售业务分析</w:t>
      </w:r>
      <w:r>
        <w:rPr>
          <w:rFonts w:hint="eastAsia" w:ascii="宋体" w:hAnsi="宋体" w:eastAsia="宋体" w:cs="宋体"/>
          <w:sz w:val="24"/>
          <w:szCs w:val="24"/>
        </w:rPr>
        <w:t>（请用不少于1500字分析该企业的销售管理活动，应包括对该企业在需求预测与计划管理、客户服务与订单履行策略、销售渠道管理与协同、销售与生产/库存的协同等四个方面的分析内容）</w:t>
      </w:r>
    </w:p>
    <w:p w14:paraId="449FA3BB">
      <w:pPr>
        <w:ind w:left="0" w:leftChars="0" w:firstLine="422" w:firstLineChars="175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CEF64DF">
      <w:pPr>
        <w:spacing w:line="300" w:lineRule="auto"/>
        <w:ind w:left="0" w:leftChars="0" w:firstLine="422" w:firstLineChars="175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库存业务分析</w:t>
      </w:r>
      <w:r>
        <w:rPr>
          <w:rFonts w:hint="eastAsia" w:ascii="宋体" w:hAnsi="宋体" w:eastAsia="宋体" w:cs="宋体"/>
          <w:sz w:val="24"/>
          <w:szCs w:val="24"/>
        </w:rPr>
        <w:t>（请用不少于1500字分析该企业的库存管理活动，应包括对该企业在库存分类与策略制定、库存控制模型与应用、库存绩效评估与优化、库存与采购/生产/销售的链接等四个方面的分析内容）</w:t>
      </w:r>
    </w:p>
    <w:p w14:paraId="0F0D6C41">
      <w:pPr>
        <w:ind w:left="0" w:leftChars="0" w:firstLine="422" w:firstLineChars="175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916F68B">
      <w:pPr>
        <w:numPr>
          <w:ilvl w:val="0"/>
          <w:numId w:val="0"/>
        </w:numPr>
        <w:spacing w:line="300" w:lineRule="auto"/>
        <w:ind w:left="0" w:leftChars="0" w:firstLine="422" w:firstLineChars="175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存货系统分析</w:t>
      </w:r>
      <w:r>
        <w:rPr>
          <w:rFonts w:hint="eastAsia" w:ascii="宋体" w:hAnsi="宋体" w:eastAsia="宋体" w:cs="宋体"/>
          <w:sz w:val="24"/>
          <w:szCs w:val="24"/>
        </w:rPr>
        <w:t>（请从技术和流程的整合层面，设计一个支持该企业实现现代库存管理的系统架构，字数不少于1500字）</w:t>
      </w:r>
    </w:p>
    <w:p w14:paraId="7BE74E25">
      <w:pPr>
        <w:numPr>
          <w:ilvl w:val="0"/>
          <w:numId w:val="0"/>
        </w:numPr>
        <w:spacing w:line="30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准考证号-考生姓名-业务实践分析报告”（例如：“010220240011-张三-业务实践分析报告”）。</w:t>
      </w:r>
    </w:p>
    <w:p w14:paraId="31CDCC22">
      <w:pPr>
        <w:spacing w:line="440" w:lineRule="exact"/>
        <w:ind w:firstLine="482" w:firstLineChars="200"/>
        <w:jc w:val="left"/>
        <w:rPr>
          <w:rFonts w:ascii="楷体" w:hAnsi="楷体" w:eastAsia="楷体" w:cs="楷体"/>
          <w:sz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6231D8F5">
      <w:pPr>
        <w:widowControl/>
        <w:jc w:val="left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ascii="楷体" w:hAnsi="楷体" w:eastAsia="楷体" w:cs="楷体"/>
          <w:b/>
          <w:bCs/>
          <w:sz w:val="24"/>
        </w:rPr>
        <w:br w:type="page"/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课程名称：供应链管理(实践)   课程编号：13676</w:t>
      </w:r>
    </w:p>
    <w:p w14:paraId="30F84144">
      <w:pPr>
        <w:jc w:val="center"/>
        <w:rPr>
          <w:rFonts w:ascii="楷体" w:hAnsi="楷体" w:eastAsia="楷体" w:cs="楷体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企业供应链管理</w:t>
      </w:r>
      <w:r>
        <w:rPr>
          <w:rFonts w:hint="eastAsia" w:ascii="楷体" w:hAnsi="楷体" w:eastAsia="楷体" w:cs="楷体"/>
          <w:b/>
          <w:bCs/>
          <w:sz w:val="36"/>
          <w:szCs w:val="36"/>
          <w:lang w:eastAsia="zh-CN"/>
        </w:rPr>
        <w:t>》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业务实践分析报告评分表</w:t>
      </w:r>
    </w:p>
    <w:p w14:paraId="4DD7FAD1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4"/>
        <w:tblW w:w="10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888"/>
        <w:gridCol w:w="888"/>
        <w:gridCol w:w="1982"/>
        <w:gridCol w:w="1842"/>
        <w:gridCol w:w="1701"/>
        <w:gridCol w:w="1560"/>
        <w:gridCol w:w="850"/>
      </w:tblGrid>
      <w:tr w14:paraId="744EB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467C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部分</w:t>
            </w: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C50AE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项目</w:t>
            </w: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B83DB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分值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9A001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优秀</w:t>
            </w:r>
          </w:p>
          <w:p w14:paraId="2D5191F9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(100&gt;x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90)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5C4EA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良好</w:t>
            </w:r>
          </w:p>
          <w:p w14:paraId="5AD26522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(90&gt;x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80)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77FEC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及格</w:t>
            </w:r>
          </w:p>
          <w:p w14:paraId="0402D898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(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8</w:t>
            </w:r>
            <w:r>
              <w:rPr>
                <w:rFonts w:ascii="黑体" w:hAnsi="黑体" w:eastAsia="黑体"/>
                <w:szCs w:val="21"/>
              </w:rPr>
              <w:t>0&gt;x</w:t>
            </w:r>
            <w:r>
              <w:rPr>
                <w:rFonts w:hint="eastAsia" w:ascii="黑体" w:hAnsi="黑体" w:eastAsia="黑体"/>
                <w:szCs w:val="21"/>
              </w:rPr>
              <w:t>≥</w:t>
            </w:r>
            <w:r>
              <w:rPr>
                <w:rFonts w:ascii="黑体" w:hAnsi="黑体" w:eastAsia="黑体"/>
                <w:szCs w:val="21"/>
              </w:rPr>
              <w:t>60)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C9D8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不及格</w:t>
            </w:r>
            <w:r>
              <w:rPr>
                <w:rFonts w:ascii="黑体" w:hAnsi="黑体" w:eastAsia="黑体"/>
                <w:szCs w:val="21"/>
              </w:rPr>
              <w:t>(x&lt;60)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2B9CE9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评分</w:t>
            </w:r>
          </w:p>
        </w:tc>
      </w:tr>
      <w:tr w14:paraId="0A83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2F33B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2D247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12A04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4AC56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1F449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6DB99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584D8">
            <w:pPr>
              <w:spacing w:line="320" w:lineRule="atLeas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参考标准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22BB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2D23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465128">
            <w:pPr>
              <w:spacing w:line="320" w:lineRule="atLeas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ascii="楷体" w:hAnsi="楷体" w:eastAsia="楷体"/>
                <w:b/>
                <w:sz w:val="24"/>
              </w:rPr>
              <w:t>采购业务分析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514C7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供应商选择与评估</w:t>
            </w:r>
          </w:p>
          <w:p w14:paraId="31EF2EBC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机制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16929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8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CACD7">
            <w:pPr>
              <w:rPr>
                <w:bCs/>
                <w:szCs w:val="22"/>
              </w:rPr>
            </w:pPr>
            <w:bookmarkStart w:id="3" w:name="OLE_LINK1"/>
            <w:bookmarkStart w:id="4" w:name="OLE_LINK2"/>
            <w:r>
              <w:rPr>
                <w:rFonts w:hint="eastAsia" w:ascii="楷体" w:hAnsi="楷体" w:eastAsia="楷体"/>
              </w:rPr>
              <w:t>清</w:t>
            </w:r>
            <w:r>
              <w:rPr>
                <w:rFonts w:hint="eastAsia" w:ascii="楷体" w:hAnsi="楷体" w:eastAsia="楷体"/>
                <w:lang w:eastAsia="zh-CN"/>
              </w:rPr>
              <w:t>晰地</w:t>
            </w:r>
            <w:r>
              <w:rPr>
                <w:rFonts w:hint="eastAsia" w:ascii="楷体" w:hAnsi="楷体" w:eastAsia="楷体"/>
              </w:rPr>
              <w:t>阐述了基于案例企业的具体需求（如质量、成本、交付、技术、服务）的供应商评估标准体系（如</w:t>
            </w:r>
            <w:r>
              <w:rPr>
                <w:rFonts w:ascii="楷体" w:hAnsi="楷体" w:eastAsia="楷体"/>
              </w:rPr>
              <w:t>TCO</w:t>
            </w:r>
            <w:r>
              <w:rPr>
                <w:rFonts w:hint="eastAsia" w:ascii="楷体" w:hAnsi="楷体" w:eastAsia="楷体"/>
              </w:rPr>
              <w:t>总拥有成本分析）；详细说明了供应商寻源、筛选、评审和绩效管理的全过程，并提出了具有创新性的供应商关系管理（如战略联盟、早期供应商参与</w:t>
            </w:r>
            <w:r>
              <w:rPr>
                <w:rFonts w:ascii="楷体" w:hAnsi="楷体" w:eastAsia="楷体"/>
              </w:rPr>
              <w:t>ESI</w:t>
            </w:r>
            <w:r>
              <w:rPr>
                <w:rFonts w:hint="eastAsia" w:ascii="楷体" w:hAnsi="楷体" w:eastAsia="楷体"/>
              </w:rPr>
              <w:t>）建议</w:t>
            </w:r>
            <w:bookmarkEnd w:id="3"/>
            <w:bookmarkEnd w:id="4"/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DBC9D"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列出了主要的供应商评估标准，描述了选择流程，但深度不足；对供应商绩效管理有提及，但缺乏系统性，提出的建议较为常规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BB9BA">
            <w:pPr>
              <w:spacing w:line="320" w:lineRule="exact"/>
              <w:rPr>
                <w:rFonts w:ascii="楷体" w:hAnsi="楷体" w:eastAsia="楷体"/>
                <w:bCs/>
              </w:rPr>
            </w:pPr>
            <w:r>
              <w:rPr>
                <w:rFonts w:hint="eastAsia" w:ascii="楷体" w:hAnsi="楷体" w:eastAsia="楷体"/>
                <w:bCs/>
              </w:rPr>
              <w:t>仅简单罗列了少数几个评估标准（如价格、质量），选择流程描述模糊；分析内容未涉及企业与供应商的持续管理和关系发展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81FDB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</w:rPr>
              <w:t>未建立有效的评估标准，或选择流程描述严重缺失、不合理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29935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1813C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4948DA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232C3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采购策略与成本控制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1E470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7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D4B53">
            <w:pPr>
              <w:spacing w:line="320" w:lineRule="exact"/>
              <w:rPr>
                <w:rFonts w:ascii="楷体" w:hAnsi="楷体" w:eastAsia="楷体"/>
                <w:bCs/>
              </w:rPr>
            </w:pPr>
            <w:r>
              <w:rPr>
                <w:rFonts w:ascii="楷体" w:hAnsi="楷体" w:eastAsia="楷体"/>
                <w:bCs/>
              </w:rPr>
              <w:t>能结合物料ABC分类，提出差异化的采购策略</w:t>
            </w:r>
            <w:r>
              <w:rPr>
                <w:rFonts w:hint="eastAsia" w:ascii="楷体" w:hAnsi="楷体" w:eastAsia="楷体"/>
                <w:bCs/>
              </w:rPr>
              <w:t>；</w:t>
            </w:r>
            <w:r>
              <w:rPr>
                <w:rFonts w:ascii="楷体" w:hAnsi="楷体" w:eastAsia="楷体"/>
                <w:bCs/>
              </w:rPr>
              <w:t>深入分析了采购总成本的构成（不仅包括购买价，还包括运输、库存、管理、风险等成本），并提出了具体、可行的降本措施（如价值分析VA、价格谈判技巧、标准化等）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EED2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ascii="楷体" w:hAnsi="楷体" w:eastAsia="楷体"/>
                <w:bCs/>
                <w:szCs w:val="21"/>
              </w:rPr>
              <w:t>提及了采购策略的概念，但与应用场景结合不够紧密；分析了部分成本，但不够全面；降本建议较为笼统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1E8E4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</w:rPr>
              <w:t>仅关注了采购单价，未建立总成本概念；缺少策略性思考分析的内容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B79F6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成本分析严重缺失或错误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7A31F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79C4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8FB31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724E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采购流程与风险管理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335F8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4661C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清</w:t>
            </w:r>
            <w:r>
              <w:rPr>
                <w:rFonts w:hint="eastAsia" w:ascii="楷体" w:hAnsi="楷体" w:eastAsia="楷体"/>
                <w:bCs/>
                <w:szCs w:val="21"/>
                <w:lang w:eastAsia="zh-CN"/>
              </w:rPr>
              <w:t>晰地</w:t>
            </w:r>
            <w:r>
              <w:rPr>
                <w:rFonts w:hint="eastAsia" w:ascii="楷体" w:hAnsi="楷体" w:eastAsia="楷体"/>
                <w:bCs/>
                <w:szCs w:val="21"/>
              </w:rPr>
              <w:t>描述了从需求提报到验收付款的端到端采购流程；识别了关键风险点，并制定了具体的风险缓解预案（如多源供应、安全库存等）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569D9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描述了主要采购步骤，但不够完整；识别了风险，但应对措施不够具体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06178"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流程描述混乱或缺失；风险意识薄弱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CFE8"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未涉及流程或风险管理的分析内容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A157D">
            <w:pPr>
              <w:spacing w:line="320" w:lineRule="exact"/>
              <w:rPr>
                <w:rFonts w:ascii="Times New Roman" w:hAnsi="Times New Roman"/>
              </w:rPr>
            </w:pPr>
          </w:p>
        </w:tc>
      </w:tr>
      <w:tr w14:paraId="798B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71E64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62F3B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与上下游的协同整合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BAE08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F0F7C">
            <w:pPr>
              <w:tabs>
                <w:tab w:val="left" w:pos="720"/>
                <w:tab w:val="left" w:pos="1440"/>
              </w:tabs>
              <w:jc w:val="left"/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深刻阐述了采购如何与生产计划（</w:t>
            </w:r>
            <w:r>
              <w:rPr>
                <w:rFonts w:ascii="楷体" w:hAnsi="楷体" w:eastAsia="楷体"/>
                <w:bCs/>
                <w:szCs w:val="21"/>
              </w:rPr>
              <w:t>MRP</w:t>
            </w:r>
            <w:r>
              <w:rPr>
                <w:rFonts w:hint="eastAsia" w:ascii="楷体" w:hAnsi="楷体" w:eastAsia="楷体"/>
                <w:bCs/>
                <w:szCs w:val="21"/>
              </w:rPr>
              <w:t>）、销售预测、库存管理进行信息共享和协同决策，体现了供应链集成思想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5DD9">
            <w:pPr>
              <w:tabs>
                <w:tab w:val="left" w:pos="720"/>
                <w:tab w:val="left" w:pos="1440"/>
              </w:tabs>
              <w:jc w:val="left"/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提及了与上下游的关联，但协同机制描述不清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48305">
            <w:pPr>
              <w:tabs>
                <w:tab w:val="left" w:pos="720"/>
                <w:tab w:val="left" w:pos="1440"/>
              </w:tabs>
              <w:jc w:val="left"/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孤立地分析采购，未体现其与供应链其他环节的链接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338C">
            <w:pPr>
              <w:tabs>
                <w:tab w:val="left" w:pos="720"/>
                <w:tab w:val="left" w:pos="1440"/>
              </w:tabs>
              <w:jc w:val="left"/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完全忽略了协同整合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6DAF0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1CFC2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9F1CD6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销售业务分析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AF1EF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需求预测与计划管理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6F39E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8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C2E9A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系统介绍了所采用的需求预测方法（如定性法、时间序列法、因果分析法），并解释了选择该方法的理由；分析了预测误差的来源，并提出了具体的误差监控与调整机制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F97B1"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提及了预测方法，但未深入解释其应用和局限性；认识到预测存在误差，但缺乏有效的管理手段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6CC71">
            <w:pPr>
              <w:spacing w:line="320" w:lineRule="exact"/>
              <w:rPr>
                <w:rFonts w:ascii="楷体" w:hAnsi="楷体" w:eastAsia="楷体"/>
              </w:rPr>
            </w:pPr>
            <w:bookmarkStart w:id="5" w:name="OLE_LINK53"/>
            <w:r>
              <w:rPr>
                <w:rFonts w:ascii="楷体" w:hAnsi="楷体" w:eastAsia="楷体"/>
                <w:bCs/>
                <w:szCs w:val="21"/>
              </w:rPr>
              <w:t>仅</w:t>
            </w:r>
            <w:r>
              <w:rPr>
                <w:rFonts w:hint="eastAsia" w:ascii="楷体" w:hAnsi="楷体" w:eastAsia="楷体"/>
                <w:bCs/>
                <w:szCs w:val="21"/>
              </w:rPr>
              <w:t>简单提及</w:t>
            </w:r>
            <w:r>
              <w:rPr>
                <w:rFonts w:ascii="楷体" w:hAnsi="楷体" w:eastAsia="楷体"/>
                <w:bCs/>
                <w:szCs w:val="21"/>
              </w:rPr>
              <w:t>“</w:t>
            </w:r>
            <w:r>
              <w:rPr>
                <w:rFonts w:hint="eastAsia" w:ascii="楷体" w:hAnsi="楷体" w:eastAsia="楷体"/>
                <w:bCs/>
                <w:szCs w:val="21"/>
              </w:rPr>
              <w:t>需要做预测</w:t>
            </w:r>
            <w:r>
              <w:rPr>
                <w:rFonts w:ascii="楷体" w:hAnsi="楷体" w:eastAsia="楷体"/>
                <w:bCs/>
                <w:szCs w:val="21"/>
              </w:rPr>
              <w:t>”</w:t>
            </w:r>
            <w:r>
              <w:rPr>
                <w:rFonts w:hint="eastAsia" w:ascii="楷体" w:hAnsi="楷体" w:eastAsia="楷体"/>
                <w:bCs/>
                <w:szCs w:val="21"/>
              </w:rPr>
              <w:t>，但无具体方法描述和误差分析的内容</w:t>
            </w:r>
            <w:bookmarkEnd w:id="5"/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FE5C8">
            <w:pPr>
              <w:spacing w:line="320" w:lineRule="exac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未涉及需求预测或采用方法存在严重错误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955AA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6FD3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7F90B0">
            <w:pPr>
              <w:spacing w:line="320" w:lineRule="atLeast"/>
              <w:jc w:val="center"/>
              <w:rPr>
                <w:rFonts w:hint="eastAsia"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6285B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客户服务与订单履行策略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1F9EE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7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8B3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明确定义了关键客户服务标准（如订单完成率、交付准时率、完美订单率）；详细分析了订单履行的流程（从接单到交付），并针对不同客户或产品细分，提出了差异化的履行策略（如按订单生产MTO、按库存生产MTS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9A2D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列出了服务标准，但未与业务目标紧密关联；描述了订单流程，但缺少策略性思考分析的内容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0612F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服务标准模糊，订单流程描述不清晰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D3F4F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未建立有效的服务标准和订单履行策略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D10F8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5745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2123B8">
            <w:pPr>
              <w:spacing w:line="320" w:lineRule="atLeast"/>
              <w:jc w:val="center"/>
              <w:rPr>
                <w:rFonts w:hint="eastAsia"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2E50D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销售渠道管理与协同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87143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49935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分析了不同销售渠道的特点及其对供应链运作（如库存部署、运输方式）的影响；提出了渠道间协同与冲突管理的见解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F29F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识别了不同渠道，但对不同渠道对供应链的影响分析较浅；对协同管理思考分析不足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C52FE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仅描述了渠道，未分析其对供应链的影响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80F19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缺少渠道管理分析的内容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A140E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440E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45CE5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617BF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销售与生产</w:t>
            </w:r>
            <w:r>
              <w:rPr>
                <w:rFonts w:hint="eastAsia" w:ascii="楷体" w:hAnsi="楷体" w:eastAsia="楷体"/>
              </w:rPr>
              <w:t>/库存的协同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B2A63">
            <w:pPr>
              <w:spacing w:line="320" w:lineRule="atLeast"/>
              <w:jc w:val="center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56B0D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清</w:t>
            </w:r>
            <w:r>
              <w:rPr>
                <w:rFonts w:hint="eastAsia" w:ascii="楷体" w:hAnsi="楷体" w:eastAsia="楷体"/>
                <w:bCs/>
                <w:szCs w:val="21"/>
                <w:lang w:eastAsia="zh-CN"/>
              </w:rPr>
              <w:t>晰地</w:t>
            </w:r>
            <w:r>
              <w:rPr>
                <w:rFonts w:hint="eastAsia" w:ascii="楷体" w:hAnsi="楷体" w:eastAsia="楷体"/>
                <w:bCs/>
                <w:szCs w:val="21"/>
              </w:rPr>
              <w:t>阐述了销售预测、客户订单如何驱动生产计划和库存补货，能够完整体现销售与运营计划的核心思想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D694B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提及了销售与生产</w:t>
            </w:r>
            <w:r>
              <w:rPr>
                <w:rFonts w:ascii="楷体" w:hAnsi="楷体" w:eastAsia="楷体"/>
                <w:bCs/>
                <w:szCs w:val="21"/>
              </w:rPr>
              <w:t>/</w:t>
            </w:r>
            <w:r>
              <w:rPr>
                <w:rFonts w:hint="eastAsia" w:ascii="楷体" w:hAnsi="楷体" w:eastAsia="楷体"/>
                <w:bCs/>
                <w:szCs w:val="21"/>
              </w:rPr>
              <w:t>库存的关联，但对协同流程和机制的分析不清晰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131B8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孤立分析销售，未体现其对内部供应链的驱动作用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AF7F">
            <w:pPr>
              <w:spacing w:line="320" w:lineRule="exact"/>
              <w:rPr>
                <w:rFonts w:ascii="楷体" w:hAnsi="楷体" w:eastAsia="楷体"/>
                <w:szCs w:val="20"/>
              </w:rPr>
            </w:pPr>
            <w:r>
              <w:rPr>
                <w:rFonts w:hint="eastAsia" w:ascii="楷体" w:hAnsi="楷体" w:eastAsia="楷体"/>
                <w:bCs/>
              </w:rPr>
              <w:t>完全忽略内部协同，缺少相应的分析内容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E259C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53E3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5603B8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ascii="楷体" w:hAnsi="楷体" w:eastAsia="楷体"/>
                <w:b/>
                <w:bCs/>
                <w:sz w:val="24"/>
              </w:rPr>
              <w:t>库存业务分析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6411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库存分类与策略制定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5399B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8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7324B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熟练运用至少一种科学的库存分类方法（如ABC分类、需求可变性分类）对案例物料进行了分类，并对不同类别制定了精准、差异化的库存管理策略（如服务水平、补货频率）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E345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进行了库存分类，但策略制定较为笼统，与类别特点结合不够紧密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79358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仅进行了简单的分类，或无分类地对所有物料采用统一策略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5783A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未进行有效分类，策略制定随意或无策略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7E281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6817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3DFF04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9752F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库存控制模型与应用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48055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7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BDBFA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正确识别并应用了合适的库存控制模型（如固定订货量模型、定期订货模型），并能够根据给定参数（如需求、提前期、成本等）计算出安全库存、再订货点、订货量等关键指标，论证充分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5E1DB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提及了库存模型，但计算过程或参数设定存在小瑕疵；论证逻辑基本成立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E763E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模型选择不当，或计算存在重大错误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D1287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未应用任何定量模型，或完全计算错误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D8B73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3F93D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224596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49B8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库存绩效评估与优化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11CEC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B7994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设立了全面的库存绩效指标体系（如库存周转率、服务水平、呆滞库存比率），并基于指标分析，提出了具体、可行的库存优化方案（如降低慢动库存、优化仓储布局）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45076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设立了部分绩效指标，但分析不够深入；优化方案较为笼统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3CE3A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仅有个别指标，或无基于数据的分析；优化建议空泛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B9F00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未设立绩效指标或优化方向错误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70F79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2EC4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23775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EC3E3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库存与采购</w:t>
            </w:r>
            <w:r>
              <w:rPr>
                <w:rFonts w:hint="eastAsia" w:ascii="楷体" w:hAnsi="楷体" w:eastAsia="楷体"/>
              </w:rPr>
              <w:t>/生产/销售的链接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121D4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CDEED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深刻分析了库存水平如何受采购批量、生产模式（批量vs.流水）、销售促销等因素的影响，并能从系统角度提出平衡各方矛盾的库存设置建议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B2D9D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认识到库存受其他环节影响，但分析不够系统，建议的平衡性不足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A5F5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bookmarkStart w:id="6" w:name="OLE_LINK90"/>
            <w:r>
              <w:rPr>
                <w:rFonts w:hint="eastAsia" w:ascii="楷体" w:hAnsi="楷体" w:eastAsia="楷体"/>
                <w:bCs/>
                <w:szCs w:val="21"/>
              </w:rPr>
              <w:t>仅单向描述影响，缺乏系统性思考</w:t>
            </w:r>
            <w:bookmarkEnd w:id="6"/>
            <w:r>
              <w:rPr>
                <w:rFonts w:hint="eastAsia" w:ascii="楷体" w:hAnsi="楷体" w:eastAsia="楷体"/>
                <w:bCs/>
                <w:szCs w:val="21"/>
              </w:rPr>
              <w:t>分析的内容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E169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孤立分析库存，未体现其链接作用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490E0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2FD7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F3CCD3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ascii="楷体" w:hAnsi="楷体" w:eastAsia="楷体"/>
                <w:b/>
                <w:bCs/>
                <w:sz w:val="24"/>
              </w:rPr>
              <w:t>存货系统分析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3700C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系统功能与流程匹</w:t>
            </w:r>
          </w:p>
          <w:p w14:paraId="285AE754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配度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663FA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8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71CC5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详细描述了所建议的存货管理系统应具备的核心功能（如库位管理、批次追踪、盘点管理、集成接口），并清晰地论证了这些功能如何与前述的采购、销售、库存业务流程无缝对接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6F853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bookmarkStart w:id="7" w:name="_Hlk210917675"/>
            <w:r>
              <w:rPr>
                <w:rFonts w:ascii="楷体" w:hAnsi="楷体" w:eastAsia="楷体"/>
                <w:bCs/>
                <w:szCs w:val="21"/>
              </w:rPr>
              <w:t>列出了系统的主要功能，但与业务流程的匹配论证不够深入或全面</w:t>
            </w:r>
            <w:bookmarkEnd w:id="7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CB75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对系统功能的描述笼统，或对系统与业务流程的链接的分析薄弱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64F54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对系统功能的描述严重缺失，或分析的系统功能与业务完全脱节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116CE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0DF9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D3F968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CD9FC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数据采集与准确性</w:t>
            </w:r>
          </w:p>
          <w:p w14:paraId="6740330B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保障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AB8E6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7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D73A9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提出了完整的数据采集方案（如使用条码、RFID、PDA等），并设计了严格的流程（如循环盘点、盲盘）和技术手段来保障库存记录的实时性与准确性，明确了准确性的量化目标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D1201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提及了数据采集技术和盘点的重要性，但方案不够具体或完整性不足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6FFD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仅简单提及需要准确数据，但无具体保障措施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EC99A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  <w:bCs/>
              </w:rPr>
              <w:t>未涉及数据采集与准确性管理的分析内容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07E25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43C5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3DC5FF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952F2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系统集成与信息流</w:t>
            </w:r>
          </w:p>
          <w:p w14:paraId="4C1977FF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设计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4A279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196DC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清晰地描绘了存货系统与ERP、TMS、OMS等周边系统的信息流交互图，阐明了如何实现数据同步与共享和消除信息孤岛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83E18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认识到系统集成的必要性，但对交互关系的描述不够清晰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6A8F0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仅提及需要集成，但无具体设计的相关内容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261">
            <w:pPr>
              <w:spacing w:line="320" w:lineRule="exact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bCs/>
                <w:szCs w:val="21"/>
              </w:rPr>
              <w:t>完全</w:t>
            </w:r>
            <w:r>
              <w:rPr>
                <w:rFonts w:ascii="楷体" w:hAnsi="楷体" w:eastAsia="楷体"/>
                <w:bCs/>
                <w:szCs w:val="21"/>
              </w:rPr>
              <w:t>未提及系统集成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4F0C3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48CD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11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FE4F7">
            <w:pPr>
              <w:spacing w:line="320" w:lineRule="atLeast"/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B6CE1">
            <w:pPr>
              <w:spacing w:line="320" w:lineRule="atLeas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系统选型</w:t>
            </w:r>
            <w:r>
              <w:rPr>
                <w:rFonts w:hint="eastAsia" w:ascii="楷体" w:hAnsi="楷体" w:eastAsia="楷体"/>
              </w:rPr>
              <w:t>/实施与回报分析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54136">
            <w:pPr>
              <w:spacing w:line="320" w:lineRule="atLeast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37252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能从技术架构、成本、易用性等角度提出系统选型或升级的考量因素；对系统投资进行了初步的回报分析（ROI），量化了其能带来的效益（如人力节省、库存降低、错误减少等）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03AB">
            <w:pPr>
              <w:tabs>
                <w:tab w:val="left" w:pos="720"/>
                <w:tab w:val="left" w:pos="1440"/>
              </w:tabs>
              <w:rPr>
                <w:rFonts w:hint="eastAsia"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提及了选型因素和回报，但分析较为定性，缺乏量化支撑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F0815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简单提及了需要系统，但无选型思考和回报分析的相关内容</w:t>
            </w:r>
          </w:p>
          <w:p w14:paraId="62F0231F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2CE14">
            <w:pPr>
              <w:tabs>
                <w:tab w:val="left" w:pos="720"/>
                <w:tab w:val="left" w:pos="1440"/>
              </w:tabs>
              <w:rPr>
                <w:rFonts w:ascii="楷体" w:hAnsi="楷体" w:eastAsia="楷体"/>
                <w:bCs/>
                <w:szCs w:val="21"/>
              </w:rPr>
            </w:pPr>
            <w:r>
              <w:rPr>
                <w:rFonts w:ascii="楷体" w:hAnsi="楷体" w:eastAsia="楷体"/>
                <w:bCs/>
                <w:szCs w:val="21"/>
              </w:rPr>
              <w:t>未涉及此方面的内容</w:t>
            </w:r>
          </w:p>
          <w:p w14:paraId="1507EC93">
            <w:pPr>
              <w:spacing w:line="320" w:lineRule="exact"/>
              <w:rPr>
                <w:rFonts w:hint="eastAsia" w:ascii="楷体" w:hAnsi="楷体" w:eastAsia="楷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BD42B">
            <w:pPr>
              <w:spacing w:line="320" w:lineRule="exact"/>
              <w:rPr>
                <w:rFonts w:ascii="Times New Roman" w:hAnsi="Times New Roman"/>
                <w:szCs w:val="20"/>
              </w:rPr>
            </w:pPr>
          </w:p>
        </w:tc>
      </w:tr>
      <w:tr w14:paraId="45B9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826" w:type="dxa"/>
            <w:gridSpan w:val="8"/>
            <w:shd w:val="clear" w:color="auto" w:fill="auto"/>
            <w:vAlign w:val="center"/>
          </w:tcPr>
          <w:p w14:paraId="15D729E9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4578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0826" w:type="dxa"/>
            <w:gridSpan w:val="8"/>
            <w:shd w:val="clear" w:color="auto" w:fill="auto"/>
            <w:vAlign w:val="center"/>
          </w:tcPr>
          <w:p w14:paraId="425AD613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8" w:name="_GoBack"/>
            <w:bookmarkEnd w:id="8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6C6FB7A7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日</w:t>
            </w:r>
          </w:p>
        </w:tc>
      </w:tr>
    </w:tbl>
    <w:p w14:paraId="3542DFAE">
      <w:pPr>
        <w:spacing w:line="360" w:lineRule="auto"/>
        <w:rPr>
          <w:rFonts w:ascii="楷体" w:hAnsi="楷体" w:eastAsia="楷体" w:cs="楷体"/>
          <w:sz w:val="24"/>
        </w:rPr>
      </w:pPr>
    </w:p>
    <w:sectPr>
      <w:footerReference r:id="rId3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28DA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14655"/>
    <w:rsid w:val="000375D2"/>
    <w:rsid w:val="00050D5A"/>
    <w:rsid w:val="00073B6E"/>
    <w:rsid w:val="0008682A"/>
    <w:rsid w:val="000E52A1"/>
    <w:rsid w:val="001017FE"/>
    <w:rsid w:val="00113E70"/>
    <w:rsid w:val="00125314"/>
    <w:rsid w:val="00153E43"/>
    <w:rsid w:val="00184114"/>
    <w:rsid w:val="00195674"/>
    <w:rsid w:val="001B6E7A"/>
    <w:rsid w:val="001C731D"/>
    <w:rsid w:val="001D4B52"/>
    <w:rsid w:val="001D7A7C"/>
    <w:rsid w:val="001E61E6"/>
    <w:rsid w:val="001F1E0F"/>
    <w:rsid w:val="001F69F1"/>
    <w:rsid w:val="00215216"/>
    <w:rsid w:val="00261032"/>
    <w:rsid w:val="002C67E8"/>
    <w:rsid w:val="002E3FC3"/>
    <w:rsid w:val="002F7CA7"/>
    <w:rsid w:val="0031210B"/>
    <w:rsid w:val="00335211"/>
    <w:rsid w:val="003A2C88"/>
    <w:rsid w:val="003C18FE"/>
    <w:rsid w:val="003D61A0"/>
    <w:rsid w:val="003E0697"/>
    <w:rsid w:val="0041026E"/>
    <w:rsid w:val="004621E8"/>
    <w:rsid w:val="00466498"/>
    <w:rsid w:val="00472CC9"/>
    <w:rsid w:val="004B4C5C"/>
    <w:rsid w:val="004D39EC"/>
    <w:rsid w:val="004D7EF1"/>
    <w:rsid w:val="004E7306"/>
    <w:rsid w:val="004F5403"/>
    <w:rsid w:val="0050601B"/>
    <w:rsid w:val="005219F3"/>
    <w:rsid w:val="00527041"/>
    <w:rsid w:val="00553C65"/>
    <w:rsid w:val="005C3E80"/>
    <w:rsid w:val="005D60CB"/>
    <w:rsid w:val="005D6DD0"/>
    <w:rsid w:val="005E3899"/>
    <w:rsid w:val="005E7288"/>
    <w:rsid w:val="006017F1"/>
    <w:rsid w:val="00607C38"/>
    <w:rsid w:val="006361CE"/>
    <w:rsid w:val="00643012"/>
    <w:rsid w:val="006555C3"/>
    <w:rsid w:val="00657DC3"/>
    <w:rsid w:val="00681F4E"/>
    <w:rsid w:val="006D2C19"/>
    <w:rsid w:val="006E374A"/>
    <w:rsid w:val="00704BCD"/>
    <w:rsid w:val="0071742A"/>
    <w:rsid w:val="0072771E"/>
    <w:rsid w:val="00781851"/>
    <w:rsid w:val="00792E6D"/>
    <w:rsid w:val="00795605"/>
    <w:rsid w:val="007B6A61"/>
    <w:rsid w:val="007C04A1"/>
    <w:rsid w:val="007C2836"/>
    <w:rsid w:val="007C5A8B"/>
    <w:rsid w:val="007F0F38"/>
    <w:rsid w:val="007F7649"/>
    <w:rsid w:val="0080451F"/>
    <w:rsid w:val="00820417"/>
    <w:rsid w:val="00841A41"/>
    <w:rsid w:val="00842B2D"/>
    <w:rsid w:val="008610D9"/>
    <w:rsid w:val="00865018"/>
    <w:rsid w:val="00867BEF"/>
    <w:rsid w:val="008A7AEA"/>
    <w:rsid w:val="008D6A6F"/>
    <w:rsid w:val="008E3EAA"/>
    <w:rsid w:val="008F5716"/>
    <w:rsid w:val="008F789F"/>
    <w:rsid w:val="0090538D"/>
    <w:rsid w:val="00913460"/>
    <w:rsid w:val="00915602"/>
    <w:rsid w:val="00956657"/>
    <w:rsid w:val="00995E66"/>
    <w:rsid w:val="009A6730"/>
    <w:rsid w:val="009C1FE0"/>
    <w:rsid w:val="009C7F65"/>
    <w:rsid w:val="00A4505F"/>
    <w:rsid w:val="00A73BBF"/>
    <w:rsid w:val="00A978F1"/>
    <w:rsid w:val="00A97E02"/>
    <w:rsid w:val="00AA5E40"/>
    <w:rsid w:val="00B016FF"/>
    <w:rsid w:val="00B1091D"/>
    <w:rsid w:val="00B34006"/>
    <w:rsid w:val="00B34921"/>
    <w:rsid w:val="00B4334F"/>
    <w:rsid w:val="00B805BB"/>
    <w:rsid w:val="00BD0242"/>
    <w:rsid w:val="00BE0C59"/>
    <w:rsid w:val="00BE4D70"/>
    <w:rsid w:val="00BE58F4"/>
    <w:rsid w:val="00BF6865"/>
    <w:rsid w:val="00C02150"/>
    <w:rsid w:val="00C32485"/>
    <w:rsid w:val="00C81214"/>
    <w:rsid w:val="00C96BF7"/>
    <w:rsid w:val="00CC3269"/>
    <w:rsid w:val="00CD39DA"/>
    <w:rsid w:val="00D54F0A"/>
    <w:rsid w:val="00D66443"/>
    <w:rsid w:val="00DB0DBC"/>
    <w:rsid w:val="00DB7339"/>
    <w:rsid w:val="00DD5389"/>
    <w:rsid w:val="00DF2941"/>
    <w:rsid w:val="00E30480"/>
    <w:rsid w:val="00EB15EC"/>
    <w:rsid w:val="00F0032D"/>
    <w:rsid w:val="00F171AA"/>
    <w:rsid w:val="00F50730"/>
    <w:rsid w:val="00F65915"/>
    <w:rsid w:val="00F67F16"/>
    <w:rsid w:val="00F806B1"/>
    <w:rsid w:val="00F93F4A"/>
    <w:rsid w:val="00FD2EBE"/>
    <w:rsid w:val="02CC33A9"/>
    <w:rsid w:val="18D253CD"/>
    <w:rsid w:val="2AAC4620"/>
    <w:rsid w:val="31BC2F58"/>
    <w:rsid w:val="33B1583D"/>
    <w:rsid w:val="41177258"/>
    <w:rsid w:val="417C59A5"/>
    <w:rsid w:val="43EF76B9"/>
    <w:rsid w:val="4B600690"/>
    <w:rsid w:val="547D0D13"/>
    <w:rsid w:val="5CEC1853"/>
    <w:rsid w:val="68334C9D"/>
    <w:rsid w:val="6CAB7C73"/>
    <w:rsid w:val="6D5A1276"/>
    <w:rsid w:val="6DB054EE"/>
    <w:rsid w:val="6ED15D17"/>
    <w:rsid w:val="718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3439</Words>
  <Characters>3573</Characters>
  <Lines>2</Lines>
  <Paragraphs>6</Paragraphs>
  <TotalTime>2</TotalTime>
  <ScaleCrop>false</ScaleCrop>
  <LinksUpToDate>false</LinksUpToDate>
  <CharactersWithSpaces>3597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2025-10-01T03:30:00Z</dcterms:created>
  <dc:creator>Ginger</dc:creator>
  <cp:lastModifiedBy>Shine</cp:lastModifiedBy>
  <dcterms:modified xsi:type="dcterms:W3CDTF">2026-06-02T01:21:18Z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3D952EB4283D468A85B474CE85910394_13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