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trPr>
        <w:tc>
          <w:tcPr>
            <w:tcW w:w="5000" w:type="pct"/>
          </w:tcPr>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lang w:val="en-US"/>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交通运输（专升本）专业考试计划</w:t>
            </w:r>
          </w:p>
          <w:p>
            <w:pPr>
              <w:spacing w:afterLines="200"/>
              <w:rPr>
                <w:rFonts w:ascii="Times New Roman" w:hAnsi="Times New Roman"/>
                <w:color w:val="000000"/>
                <w:sz w:val="40"/>
                <w:szCs w:val="72"/>
              </w:rPr>
            </w:pPr>
          </w:p>
          <w:p>
            <w:pPr>
              <w:pStyle w:val="4"/>
              <w:jc w:val="both"/>
              <w:rPr>
                <w:rFonts w:ascii="Times New Roman" w:hAnsi="Times New Roman" w:eastAsia="黑体"/>
                <w:color w:val="000000"/>
                <w:sz w:val="40"/>
                <w:szCs w:val="72"/>
              </w:rPr>
            </w:pPr>
          </w:p>
          <w:p>
            <w:pPr>
              <w:pStyle w:val="4"/>
              <w:jc w:val="both"/>
              <w:rPr>
                <w:rFonts w:ascii="Times New Roman" w:hAnsi="Times New Roman" w:eastAsia="黑体"/>
                <w:color w:val="000000"/>
                <w:sz w:val="40"/>
                <w:szCs w:val="72"/>
              </w:rPr>
            </w:pPr>
          </w:p>
          <w:p>
            <w:pPr>
              <w:pStyle w:val="4"/>
              <w:jc w:val="both"/>
              <w:rPr>
                <w:rFonts w:ascii="Times New Roman" w:hAnsi="Times New Roman" w:eastAsia="黑体"/>
                <w:color w:val="000000"/>
                <w:sz w:val="40"/>
                <w:szCs w:val="72"/>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中国民用航空飞行学院</w:t>
            </w:r>
          </w:p>
          <w:p>
            <w:pPr>
              <w:spacing w:afterLines="200"/>
              <w:rPr>
                <w:rFonts w:ascii="Times New Roman" w:hAnsi="Times New Roman"/>
                <w:color w:val="000000"/>
                <w:szCs w:val="36"/>
              </w:rPr>
            </w:pPr>
          </w:p>
          <w:p>
            <w:pPr>
              <w:pStyle w:val="4"/>
            </w:pPr>
          </w:p>
          <w:p>
            <w:pPr>
              <w:spacing w:afterLines="200"/>
              <w:jc w:val="both"/>
              <w:rPr>
                <w:rFonts w:ascii="Times New Roman" w:hAnsi="Times New Roman"/>
                <w:b/>
                <w:bCs/>
                <w:color w:val="000000"/>
                <w:sz w:val="32"/>
                <w:szCs w:val="32"/>
              </w:rPr>
            </w:pPr>
          </w:p>
          <w:p>
            <w:pPr>
              <w:pStyle w:val="4"/>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
            <w:pPr>
              <w:spacing w:line="520" w:lineRule="exact"/>
              <w:jc w:val="both"/>
              <w:rPr>
                <w:rFonts w:ascii="Times New Roman" w:hAnsi="Times New Roman" w:eastAsia="微软雅黑" w:cs="微软雅黑"/>
                <w:b/>
                <w:bCs/>
                <w:color w:val="000000"/>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trPr>
        <w:tc>
          <w:tcPr>
            <w:tcW w:w="5000" w:type="pct"/>
          </w:tcPr>
          <w:p>
            <w:pPr>
              <w:numPr>
                <w:ilvl w:val="0"/>
                <w:numId w:val="1"/>
              </w:num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指导思想</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rPr>
              <w:t>交通运输</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专升本</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专业旨在培养适应交通运输行业发展需要，掌握管理学、经济学和系统科学等相关理论知识和专业技能，具有交通运输组织管理、规划设计和指挥决策能力，能在各级交通运输管理部门及相关单位从事运输组织指挥和生产技术管理的应用型人才。</w:t>
            </w:r>
          </w:p>
          <w:p>
            <w:p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二、学历层次及规格</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高等教育自学考试交通运输（专升本）专业的学历层次为本科，学科门类为工学，专业类别为交通运输类。</w:t>
            </w:r>
          </w:p>
          <w:p>
            <w:pPr>
              <w:tabs>
                <w:tab w:val="left" w:pos="8140"/>
              </w:tabs>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本专业考试计划规定合格课程门数</w:t>
            </w:r>
            <w:r>
              <w:rPr>
                <w:rFonts w:hint="eastAsia" w:ascii="仿宋_GB2312" w:hAnsi="仿宋_GB2312" w:eastAsia="仿宋_GB2312" w:cs="仿宋_GB2312"/>
                <w:bCs/>
                <w:color w:val="000000"/>
                <w:sz w:val="28"/>
                <w:szCs w:val="28"/>
                <w:lang w:val="en-US"/>
              </w:rPr>
              <w:t>为</w:t>
            </w:r>
            <w:r>
              <w:rPr>
                <w:rFonts w:hint="eastAsia" w:ascii="仿宋_GB2312" w:hAnsi="仿宋_GB2312" w:eastAsia="仿宋_GB2312" w:cs="仿宋_GB2312"/>
                <w:bCs/>
                <w:color w:val="000000"/>
                <w:sz w:val="28"/>
                <w:szCs w:val="28"/>
              </w:rPr>
              <w:t>航空运输方向</w:t>
            </w:r>
            <w:r>
              <w:rPr>
                <w:rFonts w:ascii="仿宋_GB2312" w:hAnsi="仿宋_GB2312" w:eastAsia="仿宋_GB2312" w:cs="仿宋_GB2312"/>
                <w:bCs/>
                <w:color w:val="000000"/>
                <w:sz w:val="28"/>
                <w:szCs w:val="28"/>
                <w:lang w:val="en-US"/>
              </w:rPr>
              <w:t>14</w:t>
            </w:r>
            <w:r>
              <w:rPr>
                <w:rFonts w:hint="eastAsia" w:ascii="仿宋_GB2312" w:hAnsi="仿宋_GB2312" w:eastAsia="仿宋_GB2312" w:cs="仿宋_GB2312"/>
                <w:bCs/>
                <w:color w:val="000000"/>
                <w:sz w:val="28"/>
                <w:szCs w:val="28"/>
                <w:lang w:val="en-US"/>
              </w:rPr>
              <w:t>门</w:t>
            </w:r>
            <w:r>
              <w:rPr>
                <w:rFonts w:hint="eastAsia" w:ascii="仿宋_GB2312" w:hAnsi="仿宋_GB2312" w:eastAsia="仿宋_GB2312" w:cs="仿宋_GB2312"/>
                <w:bCs/>
                <w:color w:val="000000"/>
                <w:sz w:val="28"/>
                <w:szCs w:val="28"/>
              </w:rPr>
              <w:t>，铁路运输方向</w:t>
            </w:r>
            <w:r>
              <w:rPr>
                <w:rFonts w:ascii="仿宋_GB2312" w:hAnsi="仿宋_GB2312" w:eastAsia="仿宋_GB2312" w:cs="仿宋_GB2312"/>
                <w:bCs/>
                <w:color w:val="000000"/>
                <w:sz w:val="28"/>
                <w:szCs w:val="28"/>
                <w:lang w:val="en-US"/>
              </w:rPr>
              <w:t>15</w:t>
            </w:r>
            <w:r>
              <w:rPr>
                <w:rFonts w:hint="eastAsia" w:ascii="仿宋_GB2312" w:hAnsi="仿宋_GB2312" w:eastAsia="仿宋_GB2312" w:cs="仿宋_GB2312"/>
                <w:bCs/>
                <w:color w:val="000000"/>
                <w:sz w:val="28"/>
                <w:szCs w:val="28"/>
                <w:lang w:val="en-US"/>
              </w:rPr>
              <w:t>门</w:t>
            </w:r>
            <w:r>
              <w:rPr>
                <w:rFonts w:hint="eastAsia" w:ascii="仿宋_GB2312" w:hAnsi="仿宋_GB2312" w:eastAsia="仿宋_GB2312" w:cs="仿宋_GB2312"/>
                <w:bCs/>
                <w:color w:val="000000"/>
                <w:sz w:val="28"/>
                <w:szCs w:val="28"/>
              </w:rPr>
              <w:t>，城市轨道交通方向</w:t>
            </w:r>
            <w:r>
              <w:rPr>
                <w:rFonts w:ascii="仿宋_GB2312" w:hAnsi="仿宋_GB2312" w:eastAsia="仿宋_GB2312" w:cs="仿宋_GB2312"/>
                <w:bCs/>
                <w:color w:val="000000"/>
                <w:sz w:val="28"/>
                <w:szCs w:val="28"/>
              </w:rPr>
              <w:t>15</w:t>
            </w:r>
            <w:r>
              <w:rPr>
                <w:rFonts w:hint="eastAsia" w:ascii="仿宋_GB2312" w:hAnsi="仿宋_GB2312" w:eastAsia="仿宋_GB2312" w:cs="仿宋_GB2312"/>
                <w:bCs/>
                <w:color w:val="000000"/>
                <w:sz w:val="28"/>
                <w:szCs w:val="28"/>
              </w:rPr>
              <w:t>门（其中考试课程相关的实践考核环节部分不单独计入课程总门数）</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总学分为：航空运输方向</w:t>
            </w:r>
            <w:r>
              <w:rPr>
                <w:rFonts w:ascii="仿宋_GB2312" w:hAnsi="仿宋_GB2312" w:eastAsia="仿宋_GB2312" w:cs="仿宋_GB2312"/>
                <w:bCs/>
                <w:color w:val="000000"/>
                <w:sz w:val="28"/>
                <w:szCs w:val="28"/>
              </w:rPr>
              <w:t>71</w:t>
            </w:r>
            <w:r>
              <w:rPr>
                <w:rFonts w:hint="eastAsia" w:ascii="仿宋_GB2312" w:hAnsi="仿宋_GB2312" w:eastAsia="仿宋_GB2312" w:cs="仿宋_GB2312"/>
                <w:bCs/>
                <w:color w:val="000000"/>
                <w:sz w:val="28"/>
                <w:szCs w:val="28"/>
              </w:rPr>
              <w:t>学分，铁路运输方向</w:t>
            </w:r>
            <w:r>
              <w:rPr>
                <w:rFonts w:ascii="仿宋_GB2312" w:hAnsi="仿宋_GB2312" w:eastAsia="仿宋_GB2312" w:cs="仿宋_GB2312"/>
                <w:bCs/>
                <w:color w:val="000000"/>
                <w:sz w:val="28"/>
                <w:szCs w:val="28"/>
              </w:rPr>
              <w:t>70</w:t>
            </w:r>
            <w:r>
              <w:rPr>
                <w:rFonts w:hint="eastAsia" w:ascii="仿宋_GB2312" w:hAnsi="仿宋_GB2312" w:eastAsia="仿宋_GB2312" w:cs="仿宋_GB2312"/>
                <w:bCs/>
                <w:color w:val="000000"/>
                <w:sz w:val="28"/>
                <w:szCs w:val="28"/>
              </w:rPr>
              <w:t>学分，城市轨道交通方向</w:t>
            </w:r>
            <w:r>
              <w:rPr>
                <w:rFonts w:ascii="仿宋_GB2312" w:hAnsi="仿宋_GB2312" w:eastAsia="仿宋_GB2312" w:cs="仿宋_GB2312"/>
                <w:bCs/>
                <w:color w:val="000000"/>
                <w:sz w:val="28"/>
                <w:szCs w:val="28"/>
              </w:rPr>
              <w:t>70</w:t>
            </w:r>
            <w:r>
              <w:rPr>
                <w:rFonts w:hint="eastAsia" w:ascii="仿宋_GB2312" w:hAnsi="仿宋_GB2312" w:eastAsia="仿宋_GB2312" w:cs="仿宋_GB2312"/>
                <w:bCs/>
                <w:color w:val="000000"/>
                <w:sz w:val="28"/>
                <w:szCs w:val="28"/>
              </w:rPr>
              <w:t>学分。</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凡按照本专业考试计划的规定，取得相应课程合格成绩且达到规定学分要求，毕业环节和实践性环节考核合格，思想品德经鉴定符合要求者，经审核通过，由四川省高等教育招生考试委员会颁发交通运输（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三、培养目标与基本要求</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培养目标：本专业培养理想信念坚定，德、智、体、美、劳全面发展，具有较高的科学文化素养、职业道德水准、创新创业能力和社会责任感，适应社会和经济发展需要，具备交通运输系统的基础知识，掌握某一种运输方式的专业理论和技术，能在交通运输系统的相关部门、某一种运输方式相关企业从事政策法规制定、规划和设计、运营管理、运行控制等方面工作的应用型专门人才。</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培养要求：本专业要求掌握交通运输系统或某一种运输方式的运输需求分析、运网规划设计、运力资源配置、运营管理控制等方面的基础理论、知识和技术，具备较高的社会责任感和职业道德素质，具有较强的沟通、团队合作和终身学习能力以及实践应用能力。主要包括：</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1.</w:t>
            </w:r>
            <w:r>
              <w:rPr>
                <w:rFonts w:hint="eastAsia" w:ascii="仿宋_GB2312" w:hAnsi="仿宋_GB2312" w:eastAsia="仿宋_GB2312" w:cs="仿宋_GB2312"/>
                <w:bCs/>
                <w:color w:val="000000"/>
                <w:sz w:val="28"/>
                <w:szCs w:val="28"/>
              </w:rPr>
              <w:t>掌握交通运输系统的基础知识以及某一种运输方式的专业理论、知识、技术和方法；</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2.</w:t>
            </w:r>
            <w:r>
              <w:rPr>
                <w:rFonts w:hint="eastAsia" w:ascii="仿宋_GB2312" w:hAnsi="仿宋_GB2312" w:eastAsia="仿宋_GB2312" w:cs="仿宋_GB2312"/>
                <w:bCs/>
                <w:color w:val="000000"/>
                <w:sz w:val="28"/>
                <w:szCs w:val="28"/>
              </w:rPr>
              <w:t>能够运用专业的基础原理、知识，并通过研究分析，识别、表达交通运输系统的技术与管理问题；</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3.</w:t>
            </w:r>
            <w:r>
              <w:rPr>
                <w:rFonts w:hint="eastAsia" w:ascii="仿宋_GB2312" w:hAnsi="仿宋_GB2312" w:eastAsia="仿宋_GB2312" w:cs="仿宋_GB2312"/>
                <w:bCs/>
                <w:color w:val="000000"/>
                <w:sz w:val="28"/>
                <w:szCs w:val="28"/>
              </w:rPr>
              <w:t>能够通过设计方案、开展实验、分析与解释数据等研究，提出针对交通运输系统的技术和管理问题的解决方案，设计满足特定需求的运输组织和作业流程，并能够在设计环节中体现创新意识，考虑社会、健康、安全、法律、文化以及环境等因素；</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4.</w:t>
            </w:r>
            <w:r>
              <w:rPr>
                <w:rFonts w:hint="eastAsia" w:ascii="仿宋_GB2312" w:hAnsi="仿宋_GB2312" w:eastAsia="仿宋_GB2312" w:cs="仿宋_GB2312"/>
                <w:bCs/>
                <w:color w:val="000000"/>
                <w:sz w:val="28"/>
                <w:szCs w:val="28"/>
              </w:rPr>
              <w:t>能够针对交通运输系统的技术和管理问题，使用恰当的技术、资源、现代工程工具和信息技术工具；</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5.</w:t>
            </w:r>
            <w:r>
              <w:rPr>
                <w:rFonts w:hint="eastAsia" w:ascii="仿宋_GB2312" w:hAnsi="仿宋_GB2312" w:eastAsia="仿宋_GB2312" w:cs="仿宋_GB2312"/>
                <w:bCs/>
                <w:color w:val="000000"/>
                <w:sz w:val="28"/>
                <w:szCs w:val="28"/>
              </w:rPr>
              <w:t>能够基于相关背景知识进行合理分析、评价交通运输系统工程实践和问题解决方案对社会、健康、安全、法律以及文化的影响，并理解应承担的责任；</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6.</w:t>
            </w:r>
            <w:r>
              <w:rPr>
                <w:rFonts w:hint="eastAsia" w:ascii="仿宋_GB2312" w:hAnsi="仿宋_GB2312" w:eastAsia="仿宋_GB2312" w:cs="仿宋_GB2312"/>
                <w:bCs/>
                <w:color w:val="000000"/>
                <w:sz w:val="28"/>
                <w:szCs w:val="28"/>
              </w:rPr>
              <w:t>掌握国家交通运输领域的政策法规，具有人文社会科学素养、社会责任感，能够在交通运输系统实践中理解并遵守职业道德和规范，履行责任；</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7.</w:t>
            </w:r>
            <w:r>
              <w:rPr>
                <w:rFonts w:hint="eastAsia" w:ascii="仿宋_GB2312" w:hAnsi="仿宋_GB2312" w:eastAsia="仿宋_GB2312" w:cs="仿宋_GB2312"/>
                <w:bCs/>
                <w:color w:val="000000"/>
                <w:sz w:val="28"/>
                <w:szCs w:val="28"/>
              </w:rPr>
              <w:t>能够在交通运输系统多学科背景下的团队中承担个体、团队成员以及负责人的角色，具有团队合作精神；</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8.</w:t>
            </w:r>
            <w:r>
              <w:rPr>
                <w:rFonts w:hint="eastAsia" w:ascii="仿宋_GB2312" w:hAnsi="仿宋_GB2312" w:eastAsia="仿宋_GB2312" w:cs="仿宋_GB2312"/>
                <w:bCs/>
                <w:color w:val="000000"/>
                <w:sz w:val="28"/>
                <w:szCs w:val="28"/>
              </w:rPr>
              <w:t>能够就交通运输系统技术和管理问题与业界同行及社会公众进行有效沟通和交流，包括撰写报告和设计文稿、陈述发言、清晰表达或回应指令，具有团队沟通能力；</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9.</w:t>
            </w:r>
            <w:r>
              <w:rPr>
                <w:rFonts w:hint="eastAsia" w:ascii="仿宋_GB2312" w:hAnsi="仿宋_GB2312" w:eastAsia="仿宋_GB2312" w:cs="仿宋_GB2312"/>
                <w:bCs/>
                <w:color w:val="000000"/>
                <w:sz w:val="28"/>
                <w:szCs w:val="28"/>
              </w:rPr>
              <w:t>掌握工程管理原理与经济决策方法，并能在交通运输系统中应用；</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10.</w:t>
            </w:r>
            <w:r>
              <w:rPr>
                <w:rFonts w:hint="eastAsia" w:ascii="仿宋_GB2312" w:hAnsi="仿宋_GB2312" w:eastAsia="仿宋_GB2312" w:cs="仿宋_GB2312"/>
                <w:bCs/>
                <w:color w:val="000000"/>
                <w:sz w:val="28"/>
                <w:szCs w:val="28"/>
              </w:rPr>
              <w:t>具有自主学习和终身学习的意识，有不断学习和适应发展的能力。</w:t>
            </w:r>
          </w:p>
          <w:p>
            <w:pPr>
              <w:numPr>
                <w:ilvl w:val="0"/>
                <w:numId w:val="2"/>
              </w:num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课程设置与学分</w:t>
            </w:r>
          </w:p>
          <w:p>
            <w:pPr>
              <w:snapToGrid w:val="0"/>
              <w:spacing w:line="360" w:lineRule="auto"/>
              <w:ind w:firstLine="562" w:firstLineChars="200"/>
              <w:jc w:val="left"/>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专业代码：</w:t>
            </w:r>
            <w:r>
              <w:rPr>
                <w:rFonts w:ascii="仿宋_GB2312" w:hAnsi="仿宋_GB2312" w:eastAsia="仿宋_GB2312" w:cs="仿宋_GB2312"/>
                <w:b/>
                <w:bCs/>
                <w:color w:val="000000"/>
                <w:sz w:val="28"/>
                <w:szCs w:val="28"/>
                <w:lang w:val="en-US"/>
              </w:rPr>
              <w:t>081801</w:t>
            </w:r>
          </w:p>
          <w:tbl>
            <w:tblPr>
              <w:tblStyle w:val="5"/>
              <w:tblW w:w="48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84"/>
              <w:gridCol w:w="754"/>
              <w:gridCol w:w="1343"/>
              <w:gridCol w:w="3287"/>
              <w:gridCol w:w="656"/>
              <w:gridCol w:w="1058"/>
              <w:gridCol w:w="9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课程类别</w:t>
                  </w: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序号</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课程</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代码</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课程名称</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学分</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考试</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方式</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公共</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基础</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w:t>
                  </w: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03708</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中国近现代史纲要</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2</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2</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03709</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马克思主义基本原理概论</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专</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业</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核</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心</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w:t>
                  </w: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07296</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管理运筹学</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13834</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交通港站枢纽</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13838</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交通规划</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13841</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交通运输安全</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5</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7</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13846</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交通运输基础设施与技术装备</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5</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8</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13847</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交通运输经济学</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9</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14643</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运输组织学</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专</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业</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拓</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展</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w:t>
                  </w: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10</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05120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民航运输业务</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航空运输方向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11</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05110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机场营运与管理</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w:t>
                  </w:r>
                </w:p>
              </w:tc>
              <w:tc>
                <w:tcPr>
                  <w:tcW w:w="74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07710</w:t>
                  </w:r>
                </w:p>
              </w:tc>
              <w:tc>
                <w:tcPr>
                  <w:tcW w:w="181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签派程序与方法</w:t>
                  </w:r>
                </w:p>
              </w:tc>
              <w:tc>
                <w:tcPr>
                  <w:tcW w:w="36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8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41"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07711</w:t>
                  </w:r>
                </w:p>
              </w:tc>
              <w:tc>
                <w:tcPr>
                  <w:tcW w:w="181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签派程序与方法（实践）</w:t>
                  </w:r>
                </w:p>
              </w:tc>
              <w:tc>
                <w:tcPr>
                  <w:tcW w:w="36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58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07701</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现代导航方法</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05108</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民航市场营销</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10</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14303</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铁路站场与枢纽</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p>
                  <w:pPr>
                    <w:snapToGrid w:val="0"/>
                    <w:rPr>
                      <w:rFonts w:ascii="仿宋_GB2312" w:hAnsi="仿宋_GB2312" w:eastAsia="仿宋_GB2312" w:cs="仿宋_GB2312"/>
                      <w:bCs/>
                      <w:color w:val="000000"/>
                      <w:sz w:val="24"/>
                      <w:szCs w:val="24"/>
                      <w:lang w:val="en-US"/>
                    </w:rPr>
                  </w:pPr>
                </w:p>
                <w:p>
                  <w:pPr>
                    <w:snapToGrid w:val="0"/>
                    <w:rPr>
                      <w:rFonts w:ascii="仿宋_GB2312" w:hAnsi="仿宋_GB2312" w:eastAsia="仿宋_GB2312" w:cs="仿宋_GB2312"/>
                      <w:bCs/>
                      <w:color w:val="000000"/>
                      <w:sz w:val="24"/>
                      <w:szCs w:val="24"/>
                      <w:lang w:val="en-US"/>
                    </w:rPr>
                  </w:pPr>
                </w:p>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铁路运输方向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11</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14302</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铁路运输组织</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12</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14300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铁路货物运输</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3</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13</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14301</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铁路旅客运输</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3</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12220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集装箱运输与多式联运</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12221</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集装箱运输与多式联运（实践）</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15</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13675</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供应链管理</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pStyle w:val="4"/>
                    <w:snapToGrid w:val="0"/>
                    <w:ind w:firstLine="0"/>
                    <w:rPr>
                      <w:rFonts w:ascii="仿宋_GB2312" w:hAnsi="仿宋_GB2312" w:eastAsia="仿宋_GB2312" w:cs="仿宋_GB2312"/>
                      <w:bCs/>
                      <w:color w:val="000000"/>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highlight w:val="yellow"/>
                      <w:lang w:val="en-US"/>
                    </w:rPr>
                  </w:pP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13676</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供应链管理（实践）</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2</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10</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12220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集装箱运输与多式联运</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城市轨道交通方向</w:t>
                  </w:r>
                </w:p>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12221</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集装箱运输与多式联运（实践）</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highlight w:val="yellow"/>
                      <w:lang w:val="en-US"/>
                    </w:rPr>
                  </w:pPr>
                  <w:r>
                    <w:rPr>
                      <w:rFonts w:ascii="仿宋_GB2312" w:hAnsi="仿宋_GB2312" w:eastAsia="仿宋_GB2312" w:cs="仿宋_GB2312"/>
                      <w:bCs/>
                      <w:color w:val="000000"/>
                      <w:sz w:val="24"/>
                      <w:szCs w:val="24"/>
                    </w:rPr>
                    <w:t>11</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14302</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铁路运输组织</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rPr>
                    <w:t>12</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13675</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供应链管理</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highlight w:val="yellow"/>
                      <w:lang w:val="en-US"/>
                    </w:rPr>
                  </w:pP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13676</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供应链管理（实践）</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2</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13370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城市公共交通</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13373</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城市轨道交通系统规划与设计</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15</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12218</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城市轨道交通运营管理</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5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16</w:t>
                  </w:r>
                </w:p>
              </w:tc>
              <w:tc>
                <w:tcPr>
                  <w:tcW w:w="74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00000</w:t>
                  </w:r>
                </w:p>
              </w:tc>
              <w:tc>
                <w:tcPr>
                  <w:tcW w:w="181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毕业考核（或论文</w:t>
                  </w:r>
                  <w:r>
                    <w:rPr>
                      <w:rFonts w:ascii="仿宋_GB2312" w:hAnsi="仿宋_GB2312" w:eastAsia="仿宋_GB2312" w:cs="仿宋_GB2312"/>
                      <w:bCs/>
                      <w:color w:val="000000"/>
                      <w:sz w:val="24"/>
                      <w:szCs w:val="24"/>
                    </w:rPr>
                    <w:t>\</w:t>
                  </w:r>
                  <w:r>
                    <w:rPr>
                      <w:rFonts w:hint="eastAsia" w:ascii="仿宋_GB2312" w:hAnsi="仿宋_GB2312" w:eastAsia="仿宋_GB2312" w:cs="仿宋_GB2312"/>
                      <w:bCs/>
                      <w:color w:val="000000"/>
                      <w:sz w:val="24"/>
                      <w:szCs w:val="24"/>
                    </w:rPr>
                    <w:t>综合实践</w:t>
                  </w:r>
                  <w:r>
                    <w:rPr>
                      <w:rFonts w:ascii="仿宋_GB2312" w:hAnsi="仿宋_GB2312" w:eastAsia="仿宋_GB2312" w:cs="仿宋_GB2312"/>
                      <w:bCs/>
                      <w:color w:val="000000"/>
                      <w:sz w:val="24"/>
                      <w:szCs w:val="24"/>
                    </w:rPr>
                    <w:t>\</w:t>
                  </w:r>
                  <w:r>
                    <w:rPr>
                      <w:rFonts w:hint="eastAsia" w:ascii="仿宋_GB2312" w:hAnsi="仿宋_GB2312" w:eastAsia="仿宋_GB2312" w:cs="仿宋_GB2312"/>
                      <w:bCs/>
                      <w:color w:val="000000"/>
                      <w:sz w:val="24"/>
                      <w:szCs w:val="24"/>
                    </w:rPr>
                    <w:t>实验</w:t>
                  </w:r>
                  <w:r>
                    <w:rPr>
                      <w:rFonts w:ascii="仿宋_GB2312" w:hAnsi="仿宋_GB2312" w:eastAsia="仿宋_GB2312" w:cs="仿宋_GB2312"/>
                      <w:bCs/>
                      <w:color w:val="000000"/>
                      <w:sz w:val="24"/>
                      <w:szCs w:val="24"/>
                    </w:rPr>
                    <w:t>\</w:t>
                  </w:r>
                  <w:r>
                    <w:rPr>
                      <w:rFonts w:hint="eastAsia" w:ascii="仿宋_GB2312" w:hAnsi="仿宋_GB2312" w:eastAsia="仿宋_GB2312" w:cs="仿宋_GB2312"/>
                      <w:bCs/>
                      <w:color w:val="000000"/>
                      <w:sz w:val="24"/>
                      <w:szCs w:val="24"/>
                    </w:rPr>
                    <w:t>实习等）</w:t>
                  </w:r>
                </w:p>
              </w:tc>
              <w:tc>
                <w:tcPr>
                  <w:tcW w:w="36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5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5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959"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总学分</w:t>
                  </w:r>
                </w:p>
              </w:tc>
              <w:tc>
                <w:tcPr>
                  <w:tcW w:w="4040" w:type="pct"/>
                  <w:gridSpan w:val="5"/>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航空运输方向</w:t>
                  </w:r>
                  <w:r>
                    <w:rPr>
                      <w:rFonts w:ascii="仿宋_GB2312" w:hAnsi="仿宋_GB2312" w:eastAsia="仿宋_GB2312" w:cs="仿宋_GB2312"/>
                      <w:bCs/>
                      <w:color w:val="000000"/>
                      <w:sz w:val="24"/>
                      <w:szCs w:val="24"/>
                      <w:lang w:val="en-US"/>
                    </w:rPr>
                    <w:t>71</w:t>
                  </w:r>
                  <w:r>
                    <w:rPr>
                      <w:rFonts w:hint="eastAsia" w:ascii="仿宋_GB2312" w:hAnsi="仿宋_GB2312" w:eastAsia="仿宋_GB2312" w:cs="仿宋_GB2312"/>
                      <w:bCs/>
                      <w:color w:val="000000"/>
                      <w:sz w:val="24"/>
                      <w:szCs w:val="24"/>
                    </w:rPr>
                    <w:t>学分，铁路运输方向</w:t>
                  </w:r>
                  <w:r>
                    <w:rPr>
                      <w:rFonts w:ascii="仿宋_GB2312" w:hAnsi="仿宋_GB2312" w:eastAsia="仿宋_GB2312" w:cs="仿宋_GB2312"/>
                      <w:bCs/>
                      <w:color w:val="000000"/>
                      <w:sz w:val="24"/>
                      <w:szCs w:val="24"/>
                    </w:rPr>
                    <w:t>7</w:t>
                  </w:r>
                  <w:r>
                    <w:rPr>
                      <w:rFonts w:ascii="仿宋_GB2312" w:hAnsi="仿宋_GB2312" w:eastAsia="仿宋_GB2312" w:cs="仿宋_GB2312"/>
                      <w:bCs/>
                      <w:color w:val="000000"/>
                      <w:sz w:val="24"/>
                      <w:szCs w:val="24"/>
                      <w:lang w:val="en-US"/>
                    </w:rPr>
                    <w:t>1</w:t>
                  </w:r>
                  <w:r>
                    <w:rPr>
                      <w:rFonts w:hint="eastAsia" w:ascii="仿宋_GB2312" w:hAnsi="仿宋_GB2312" w:eastAsia="仿宋_GB2312" w:cs="仿宋_GB2312"/>
                      <w:bCs/>
                      <w:color w:val="000000"/>
                      <w:sz w:val="24"/>
                      <w:szCs w:val="24"/>
                    </w:rPr>
                    <w:t>学分，城市轨道交通方向</w:t>
                  </w:r>
                  <w:r>
                    <w:rPr>
                      <w:rFonts w:ascii="仿宋_GB2312" w:hAnsi="仿宋_GB2312" w:eastAsia="仿宋_GB2312" w:cs="仿宋_GB2312"/>
                      <w:bCs/>
                      <w:color w:val="000000"/>
                      <w:sz w:val="24"/>
                      <w:szCs w:val="24"/>
                    </w:rPr>
                    <w:t>7</w:t>
                  </w:r>
                  <w:r>
                    <w:rPr>
                      <w:rFonts w:ascii="仿宋_GB2312" w:hAnsi="仿宋_GB2312" w:eastAsia="仿宋_GB2312" w:cs="仿宋_GB2312"/>
                      <w:bCs/>
                      <w:color w:val="000000"/>
                      <w:sz w:val="24"/>
                      <w:szCs w:val="24"/>
                      <w:lang w:val="en-US"/>
                    </w:rPr>
                    <w:t>1</w:t>
                  </w:r>
                  <w:r>
                    <w:rPr>
                      <w:rFonts w:hint="eastAsia" w:ascii="仿宋_GB2312" w:hAnsi="仿宋_GB2312" w:eastAsia="仿宋_GB2312" w:cs="仿宋_GB2312"/>
                      <w:bCs/>
                      <w:color w:val="000000"/>
                      <w:sz w:val="24"/>
                      <w:szCs w:val="24"/>
                    </w:rPr>
                    <w:t>学分。</w:t>
                  </w:r>
                </w:p>
              </w:tc>
            </w:tr>
          </w:tbl>
          <w:p>
            <w:pPr>
              <w:numPr>
                <w:ilvl w:val="0"/>
                <w:numId w:val="2"/>
              </w:num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主要课程说明</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1.</w:t>
            </w:r>
            <w:r>
              <w:rPr>
                <w:rFonts w:hint="eastAsia" w:ascii="仿宋_GB2312" w:hAnsi="仿宋_GB2312" w:eastAsia="仿宋_GB2312" w:cs="仿宋_GB2312"/>
                <w:bCs/>
                <w:color w:val="000000"/>
                <w:sz w:val="28"/>
                <w:szCs w:val="28"/>
              </w:rPr>
              <w:t>管理运筹学</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线性规划（包括数学建模、单纯形法求解，对偶规划、灵敏度分析，运输规划）、整数规划、动态规划、图论、排队论和存储决策等方面的讲解。通过学习本课程，使学生将数学理论和方法应用于实际问题。</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2.</w:t>
            </w:r>
            <w:r>
              <w:rPr>
                <w:rFonts w:hint="eastAsia" w:ascii="仿宋_GB2312" w:hAnsi="仿宋_GB2312" w:eastAsia="仿宋_GB2312" w:cs="仿宋_GB2312"/>
                <w:bCs/>
                <w:color w:val="000000"/>
                <w:sz w:val="28"/>
                <w:szCs w:val="28"/>
              </w:rPr>
              <w:t>交通港站枢纽</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交通港站与枢纽总体布局规划、交通流线分析与设计、公路站场设计、铁路站场设计、城市轨道交通车站设计、港口规划设计、民用机场规划设计和交通港站与枢纽设计方案综合评价等。通过学习本课程，使学生掌握交通港站与枢纽设计的基础知识、设计方法与过程，在熟悉理论知识的基础上，形成较为明确的设计思路和实践能力，为解决交通运输中的实际问题和进行更高层次的学习奠定必要的基础。</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3.</w:t>
            </w:r>
            <w:r>
              <w:rPr>
                <w:rFonts w:hint="eastAsia" w:ascii="仿宋_GB2312" w:hAnsi="仿宋_GB2312" w:eastAsia="仿宋_GB2312" w:cs="仿宋_GB2312"/>
                <w:bCs/>
                <w:color w:val="000000"/>
                <w:sz w:val="28"/>
                <w:szCs w:val="28"/>
              </w:rPr>
              <w:t>交通规划</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交通调查、交通与土地利用、交通网络布局规划与设计、交通的发生与吸引、交通分布、交通方式划分、交通流分配、常用交通规划软件、交通规划案例等。通过学习本课程，使学生掌握交通规划的基本原理和方法，初步具有一定的交通规划方案设计、优化及决策的能力与素质，具有应用规范、图册及交通规划软件的能力，了解交通规划的最新发展趋势，为今后从事交通规划相关工作打下扎实的基础。</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4.</w:t>
            </w:r>
            <w:r>
              <w:rPr>
                <w:rFonts w:hint="eastAsia" w:ascii="仿宋_GB2312" w:hAnsi="仿宋_GB2312" w:eastAsia="仿宋_GB2312" w:cs="仿宋_GB2312"/>
                <w:bCs/>
                <w:color w:val="000000"/>
                <w:sz w:val="28"/>
                <w:szCs w:val="28"/>
              </w:rPr>
              <w:t>交通运输安全</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本课程主要内容是交通安全基本概念、影响交通运输安全的因素、安全管理主要基础理论、交通运输安全的系统分析、系统评价和系统管理。通过学习本课程，使学生树立交通运输安全意识，掌握交通安全技能。</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5.</w:t>
            </w:r>
            <w:r>
              <w:rPr>
                <w:rFonts w:hint="eastAsia" w:ascii="仿宋_GB2312" w:hAnsi="仿宋_GB2312" w:eastAsia="仿宋_GB2312" w:cs="仿宋_GB2312"/>
                <w:bCs/>
                <w:color w:val="000000"/>
                <w:sz w:val="28"/>
                <w:szCs w:val="28"/>
              </w:rPr>
              <w:t>交通运输基础设施与技术装备</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铁路运输设备、轨道交通运输设备、公路运输设备、水路运输设备、航空运输设备、管道运输设备等。通过学习本课程，使学生掌握铁路、轨道交通、道路、水路、航空和管道运输等五种运输方式的基础设施与技术装备，掌握设施设备的基本构造和基本原理，了解各种交通运输设施设备之间的相互关系，以及国内外交通运输设施设备发展的新技术新趋势，为今后从事交通运输工作打下一个良好的基础。</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6.</w:t>
            </w:r>
            <w:r>
              <w:rPr>
                <w:rFonts w:hint="eastAsia" w:ascii="仿宋_GB2312" w:hAnsi="仿宋_GB2312" w:eastAsia="仿宋_GB2312" w:cs="仿宋_GB2312"/>
                <w:bCs/>
                <w:color w:val="000000"/>
                <w:sz w:val="28"/>
                <w:szCs w:val="28"/>
              </w:rPr>
              <w:t>交通运输经济学</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运输需求、运输供给、交通运输投资效益分析、运输成本、运输价格和交通运输市场等。通过学习本课程，使学生了解并掌握运输产业的基本理论，运输经济规律，运输需求与供给以及体现上述理论、规律和供求的基本原则、制度和具体方法；使学生学习运用经济方法管理交通运输业，在交通运输组织和技术管理中，懂得应用基本的经济计算和分析方法，运用所学知识做好交通运输组织和管理工作。</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lang w:val="en-US"/>
              </w:rPr>
              <w:t>7.</w:t>
            </w:r>
            <w:r>
              <w:rPr>
                <w:rFonts w:hint="eastAsia" w:ascii="仿宋_GB2312" w:hAnsi="仿宋_GB2312" w:eastAsia="仿宋_GB2312" w:cs="仿宋_GB2312"/>
                <w:bCs/>
                <w:color w:val="000000"/>
                <w:sz w:val="28"/>
                <w:szCs w:val="28"/>
              </w:rPr>
              <w:t>运输组织学</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运输需求分析与预测，交通运输资源配置与产品规划，交通运输能力，旅客运输组织，货物运输组织，交通线网运输组织，交通港站与枢纽运输组织，交通运输生产计划与运输调度工作等。通过学习本课程，使学生理解交通运输系统的基本概念，熟悉运输需求分析与预测方法，掌握交通运输资源配置与产品规划方法、旅客运输和货物运输的运作过程、交通运输计划调度等方面的基本技能和方法，对交通运输规划与管理的共性和规律性形成一定的认识，为解决交通运输中的实际问题和进行更高层次的学习奠定必要的基础。</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8.</w:t>
            </w:r>
            <w:r>
              <w:rPr>
                <w:rFonts w:hint="eastAsia" w:ascii="仿宋_GB2312" w:hAnsi="仿宋_GB2312" w:eastAsia="仿宋_GB2312" w:cs="仿宋_GB2312"/>
                <w:bCs/>
                <w:color w:val="000000"/>
                <w:sz w:val="28"/>
                <w:szCs w:val="28"/>
                <w:lang w:val="en-US"/>
              </w:rPr>
              <w:t>民航运输业务</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包括民航运输业概述、民航运输基础知识、民航旅客运输的规定和流程、客票销售、旅客运送、行李运输、民航货物运输业务流程、航空货运运价等。通过学习本课程，使学生了解民航客货运输业务的基本知识、最新规定、业务流程和发展趋势，具备将课程相关知识和理论应用于民航地面服务工作的实践能力，能够从管理者的角度分析和思考民航运输系统的组织和优化。</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9.</w:t>
            </w:r>
            <w:r>
              <w:rPr>
                <w:rFonts w:hint="eastAsia" w:ascii="仿宋_GB2312" w:hAnsi="仿宋_GB2312" w:eastAsia="仿宋_GB2312" w:cs="仿宋_GB2312"/>
                <w:bCs/>
                <w:color w:val="000000"/>
                <w:sz w:val="28"/>
                <w:szCs w:val="28"/>
                <w:lang w:val="en-US"/>
              </w:rPr>
              <w:t>机场营运与管理</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本课程主要内容包括民用航空系统、机场系统、机场航站区</w:t>
            </w:r>
            <w:r>
              <w:rPr>
                <w:rFonts w:hint="eastAsia" w:ascii="仿宋_GB2312" w:hAnsi="仿宋_GB2312" w:eastAsia="仿宋_GB2312" w:cs="仿宋_GB2312"/>
                <w:bCs/>
                <w:color w:val="000000"/>
                <w:sz w:val="28"/>
                <w:szCs w:val="28"/>
                <w:lang w:val="en-US" w:eastAsia="zh-CN"/>
              </w:rPr>
              <w:t>的</w:t>
            </w:r>
            <w:r>
              <w:rPr>
                <w:rFonts w:hint="eastAsia" w:ascii="仿宋_GB2312" w:hAnsi="仿宋_GB2312" w:eastAsia="仿宋_GB2312" w:cs="仿宋_GB2312"/>
                <w:bCs/>
                <w:color w:val="000000"/>
                <w:sz w:val="28"/>
                <w:szCs w:val="28"/>
                <w:lang w:val="en-US"/>
              </w:rPr>
              <w:t>运营、机场货运经营、机场安检与联检、出入机场地面交通系统、机场经营管理、机场服务管理、智慧和绿色机场等。通过学习本课程，使学生了解民航机场营运与管理的各个系统和环节，掌握分析民航机场营运与管理的基本概念和方法。</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10.</w:t>
            </w:r>
            <w:r>
              <w:rPr>
                <w:rFonts w:hint="eastAsia" w:ascii="仿宋_GB2312" w:hAnsi="仿宋_GB2312" w:eastAsia="仿宋_GB2312" w:cs="仿宋_GB2312"/>
                <w:bCs/>
                <w:color w:val="000000"/>
                <w:sz w:val="28"/>
                <w:szCs w:val="28"/>
                <w:lang w:val="en-US"/>
              </w:rPr>
              <w:t>签派程序与方法</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包括航空公司运行合格审定、航空公司运行控制、航班计划管理、飞机运行管理、机组管理、航空通信、签派放行程序与方法等。通过学习本课程，使学生养成在空中交通运输专业领域从事航空公司运行管理工作的能力，使学生具备开展航空公司运行管理工作及航班运行控制的基本知识与专业素质。</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11.</w:t>
            </w:r>
            <w:r>
              <w:rPr>
                <w:rFonts w:hint="eastAsia" w:ascii="仿宋_GB2312" w:hAnsi="仿宋_GB2312" w:eastAsia="仿宋_GB2312" w:cs="仿宋_GB2312"/>
                <w:bCs/>
                <w:color w:val="000000"/>
                <w:sz w:val="28"/>
                <w:szCs w:val="28"/>
                <w:lang w:val="en-US"/>
              </w:rPr>
              <w:t>现代导航方法</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本课程主要内容包括全球定位系统（</w:t>
            </w:r>
            <w:r>
              <w:rPr>
                <w:rFonts w:ascii="仿宋_GB2312" w:hAnsi="仿宋_GB2312" w:eastAsia="仿宋_GB2312" w:cs="仿宋_GB2312"/>
                <w:bCs/>
                <w:color w:val="000000"/>
                <w:sz w:val="28"/>
                <w:szCs w:val="28"/>
                <w:lang w:val="en-US"/>
              </w:rPr>
              <w:t>GPS</w:t>
            </w:r>
            <w:r>
              <w:rPr>
                <w:rFonts w:hint="eastAsia" w:ascii="仿宋_GB2312" w:hAnsi="仿宋_GB2312" w:eastAsia="仿宋_GB2312" w:cs="仿宋_GB2312"/>
                <w:bCs/>
                <w:color w:val="000000"/>
                <w:sz w:val="28"/>
                <w:szCs w:val="28"/>
                <w:lang w:val="en-US"/>
              </w:rPr>
              <w:t>）和惯性导航</w:t>
            </w:r>
            <w:r>
              <w:rPr>
                <w:rFonts w:ascii="仿宋_GB2312" w:hAnsi="仿宋_GB2312" w:eastAsia="仿宋_GB2312" w:cs="仿宋_GB2312"/>
                <w:bCs/>
                <w:color w:val="000000"/>
                <w:sz w:val="28"/>
                <w:szCs w:val="28"/>
                <w:lang w:val="en-US"/>
              </w:rPr>
              <w:t>/</w:t>
            </w:r>
            <w:r>
              <w:rPr>
                <w:rFonts w:hint="eastAsia" w:ascii="仿宋_GB2312" w:hAnsi="仿宋_GB2312" w:eastAsia="仿宋_GB2312" w:cs="仿宋_GB2312"/>
                <w:bCs/>
                <w:color w:val="000000"/>
                <w:sz w:val="28"/>
                <w:szCs w:val="28"/>
                <w:lang w:val="en-US"/>
              </w:rPr>
              <w:t>基准系统（</w:t>
            </w:r>
            <w:r>
              <w:rPr>
                <w:rFonts w:ascii="仿宋_GB2312" w:hAnsi="仿宋_GB2312" w:eastAsia="仿宋_GB2312" w:cs="仿宋_GB2312"/>
                <w:bCs/>
                <w:color w:val="000000"/>
                <w:sz w:val="28"/>
                <w:szCs w:val="28"/>
                <w:lang w:val="en-US"/>
              </w:rPr>
              <w:t>INS/IRS</w:t>
            </w:r>
            <w:r>
              <w:rPr>
                <w:rFonts w:hint="eastAsia" w:ascii="仿宋_GB2312" w:hAnsi="仿宋_GB2312" w:eastAsia="仿宋_GB2312" w:cs="仿宋_GB2312"/>
                <w:bCs/>
                <w:color w:val="000000"/>
                <w:sz w:val="28"/>
                <w:szCs w:val="28"/>
                <w:lang w:val="en-US"/>
              </w:rPr>
              <w:t>）的构架，工作原理和在现代民航的应用，区域导航原理、区域导航规范</w:t>
            </w:r>
            <w:r>
              <w:rPr>
                <w:rFonts w:ascii="仿宋_GB2312" w:hAnsi="仿宋_GB2312" w:eastAsia="仿宋_GB2312" w:cs="仿宋_GB2312"/>
                <w:bCs/>
                <w:color w:val="000000"/>
                <w:sz w:val="28"/>
                <w:szCs w:val="28"/>
                <w:lang w:val="en-US"/>
              </w:rPr>
              <w:t>RNAV/RNP</w:t>
            </w:r>
            <w:r>
              <w:rPr>
                <w:rFonts w:hint="eastAsia" w:ascii="仿宋_GB2312" w:hAnsi="仿宋_GB2312" w:eastAsia="仿宋_GB2312" w:cs="仿宋_GB2312"/>
                <w:bCs/>
                <w:color w:val="000000"/>
                <w:sz w:val="28"/>
                <w:szCs w:val="28"/>
                <w:lang w:val="en-US"/>
              </w:rPr>
              <w:t>、基于性能的导航（</w:t>
            </w:r>
            <w:r>
              <w:rPr>
                <w:rFonts w:ascii="仿宋_GB2312" w:hAnsi="仿宋_GB2312" w:eastAsia="仿宋_GB2312" w:cs="仿宋_GB2312"/>
                <w:bCs/>
                <w:color w:val="000000"/>
                <w:sz w:val="28"/>
                <w:szCs w:val="28"/>
                <w:lang w:val="en-US"/>
              </w:rPr>
              <w:t>PBN</w:t>
            </w:r>
            <w:r>
              <w:rPr>
                <w:rFonts w:hint="eastAsia" w:ascii="仿宋_GB2312" w:hAnsi="仿宋_GB2312" w:eastAsia="仿宋_GB2312" w:cs="仿宋_GB2312"/>
                <w:bCs/>
                <w:color w:val="000000"/>
                <w:sz w:val="28"/>
                <w:szCs w:val="28"/>
                <w:lang w:val="en-US"/>
              </w:rPr>
              <w:t>）及其应用，</w:t>
            </w:r>
            <w:r>
              <w:rPr>
                <w:rFonts w:ascii="仿宋_GB2312" w:hAnsi="仿宋_GB2312" w:eastAsia="仿宋_GB2312" w:cs="仿宋_GB2312"/>
                <w:bCs/>
                <w:color w:val="000000"/>
                <w:sz w:val="28"/>
                <w:szCs w:val="28"/>
                <w:lang w:val="en-US"/>
              </w:rPr>
              <w:t>FMS</w:t>
            </w:r>
            <w:r>
              <w:rPr>
                <w:rFonts w:hint="eastAsia" w:ascii="仿宋_GB2312" w:hAnsi="仿宋_GB2312" w:eastAsia="仿宋_GB2312" w:cs="仿宋_GB2312"/>
                <w:bCs/>
                <w:color w:val="000000"/>
                <w:sz w:val="28"/>
                <w:szCs w:val="28"/>
                <w:lang w:val="en-US"/>
              </w:rPr>
              <w:t>的系统组成、结构、功能以及在飞行前和飞行中的使用。通过学习本课程，使学生掌握现代民航的导航设备、方法和原理，熟悉作为现代导航能力基础的飞行管理系统（</w:t>
            </w:r>
            <w:r>
              <w:rPr>
                <w:rFonts w:ascii="仿宋_GB2312" w:hAnsi="仿宋_GB2312" w:eastAsia="仿宋_GB2312" w:cs="仿宋_GB2312"/>
                <w:bCs/>
                <w:color w:val="000000"/>
                <w:sz w:val="28"/>
                <w:szCs w:val="28"/>
                <w:lang w:val="en-US"/>
              </w:rPr>
              <w:t>FMS</w:t>
            </w:r>
            <w:r>
              <w:rPr>
                <w:rFonts w:hint="eastAsia" w:ascii="仿宋_GB2312" w:hAnsi="仿宋_GB2312" w:eastAsia="仿宋_GB2312" w:cs="仿宋_GB2312"/>
                <w:bCs/>
                <w:color w:val="000000"/>
                <w:sz w:val="28"/>
                <w:szCs w:val="28"/>
                <w:lang w:val="en-US"/>
              </w:rPr>
              <w:t>）。</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12.</w:t>
            </w:r>
            <w:r>
              <w:rPr>
                <w:rFonts w:hint="eastAsia" w:ascii="仿宋_GB2312" w:hAnsi="仿宋_GB2312" w:eastAsia="仿宋_GB2312" w:cs="仿宋_GB2312"/>
                <w:bCs/>
                <w:color w:val="000000"/>
                <w:sz w:val="28"/>
                <w:szCs w:val="28"/>
                <w:lang w:val="en-US"/>
              </w:rPr>
              <w:t>民航市场营销</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rPr>
              <w:t>本课程</w:t>
            </w:r>
            <w:r>
              <w:rPr>
                <w:rFonts w:hint="eastAsia" w:ascii="仿宋_GB2312" w:hAnsi="仿宋_GB2312" w:eastAsia="仿宋_GB2312" w:cs="仿宋_GB2312"/>
                <w:bCs/>
                <w:color w:val="000000"/>
                <w:sz w:val="28"/>
                <w:szCs w:val="28"/>
                <w:lang w:val="en-US"/>
              </w:rPr>
              <w:t>主要内容包括民航行业的市场现状分析、民航市场需求分析、</w:t>
            </w:r>
            <w:r>
              <w:rPr>
                <w:rFonts w:ascii="仿宋_GB2312" w:hAnsi="仿宋_GB2312" w:eastAsia="仿宋_GB2312" w:cs="仿宋_GB2312"/>
                <w:bCs/>
                <w:color w:val="000000"/>
                <w:sz w:val="28"/>
                <w:szCs w:val="28"/>
                <w:lang w:val="en-US"/>
              </w:rPr>
              <w:t>STP</w:t>
            </w:r>
            <w:r>
              <w:rPr>
                <w:rFonts w:hint="eastAsia" w:ascii="仿宋_GB2312" w:hAnsi="仿宋_GB2312" w:eastAsia="仿宋_GB2312" w:cs="仿宋_GB2312"/>
                <w:bCs/>
                <w:color w:val="000000"/>
                <w:sz w:val="28"/>
                <w:szCs w:val="28"/>
                <w:lang w:val="en-US"/>
              </w:rPr>
              <w:t>战略设计（市场细分、目标市场、市场定位）、</w:t>
            </w:r>
            <w:r>
              <w:rPr>
                <w:rFonts w:ascii="仿宋_GB2312" w:hAnsi="仿宋_GB2312" w:eastAsia="仿宋_GB2312" w:cs="仿宋_GB2312"/>
                <w:bCs/>
                <w:color w:val="000000"/>
                <w:sz w:val="28"/>
                <w:szCs w:val="28"/>
                <w:lang w:val="en-US"/>
              </w:rPr>
              <w:t>4P</w:t>
            </w:r>
            <w:r>
              <w:rPr>
                <w:rFonts w:hint="eastAsia" w:ascii="仿宋_GB2312" w:hAnsi="仿宋_GB2312" w:eastAsia="仿宋_GB2312" w:cs="仿宋_GB2312"/>
                <w:bCs/>
                <w:color w:val="000000"/>
                <w:sz w:val="28"/>
                <w:szCs w:val="28"/>
                <w:lang w:val="en-US"/>
              </w:rPr>
              <w:t>策略（产品策略、渠道策略、定价策略和促销策略）。通过学习本课程，使学生掌握分析复杂市场环境和消费者行为需求特征的理论知识，能够将营销理论应用于民航企业营销管理工作。</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13.</w:t>
            </w:r>
            <w:r>
              <w:rPr>
                <w:rFonts w:hint="eastAsia" w:ascii="仿宋_GB2312" w:hAnsi="仿宋_GB2312" w:eastAsia="仿宋_GB2312" w:cs="仿宋_GB2312"/>
                <w:bCs/>
                <w:color w:val="000000"/>
                <w:sz w:val="28"/>
                <w:szCs w:val="28"/>
                <w:lang w:val="en-US"/>
              </w:rPr>
              <w:t>铁路站场与枢纽</w:t>
            </w:r>
          </w:p>
          <w:p>
            <w:pPr>
              <w:pStyle w:val="4"/>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是将运输组织学和一般的工程设计结合起来，从系统的角度出发，在先进的工作组织的基础上，对车站（枢纽）各项设备的布置提出合理的运营要求和设计方案，从而满足运输生产的需要。通过学习本课程，使学生具备从事勘测设计和技术管理人员的能力。</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14.</w:t>
            </w:r>
            <w:r>
              <w:rPr>
                <w:rFonts w:hint="eastAsia" w:ascii="仿宋_GB2312" w:hAnsi="仿宋_GB2312" w:eastAsia="仿宋_GB2312" w:cs="仿宋_GB2312"/>
                <w:bCs/>
                <w:color w:val="000000"/>
                <w:sz w:val="28"/>
                <w:szCs w:val="28"/>
                <w:lang w:val="en-US"/>
              </w:rPr>
              <w:t>铁路运输组织</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是系统介绍铁路运输组织的基本理论和基本方法，使学生掌握车站接发列车、调车工作、列车调度指挥的基本技能，具有合理运用车站各种设备、合理组织车流，编制列车运行图和技术计划，编制车站调车作业计划，组织指挥车站行车工作和列车运行的能力。通过学习本课程，使学生为毕业后从事铁路运输科学研究、铁路运输规划与宏观决策，铁路运输技术管理和组织指挥等工作打下坚实的基础。</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15.</w:t>
            </w:r>
            <w:r>
              <w:rPr>
                <w:rFonts w:hint="eastAsia" w:ascii="仿宋_GB2312" w:hAnsi="仿宋_GB2312" w:eastAsia="仿宋_GB2312" w:cs="仿宋_GB2312"/>
                <w:bCs/>
                <w:color w:val="000000"/>
                <w:sz w:val="28"/>
                <w:szCs w:val="28"/>
                <w:lang w:val="en-US"/>
              </w:rPr>
              <w:t>铁路货物运输</w:t>
            </w:r>
          </w:p>
          <w:p>
            <w:pPr>
              <w:pStyle w:val="4"/>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本课程主要内容是系统介绍铁路货物运输的基本生产过程、货场设施设备布局、运用及特种货物运输组织过程及方法，通过学习本课程，使学生对铁路货物运输组织有较为全面</w:t>
            </w:r>
            <w:r>
              <w:rPr>
                <w:rFonts w:hint="eastAsia" w:ascii="仿宋_GB2312" w:hAnsi="仿宋_GB2312" w:eastAsia="仿宋_GB2312" w:cs="仿宋_GB2312"/>
                <w:bCs/>
                <w:color w:val="000000"/>
                <w:sz w:val="28"/>
                <w:szCs w:val="28"/>
                <w:lang w:val="en-US" w:eastAsia="zh-CN"/>
              </w:rPr>
              <w:t>的</w:t>
            </w:r>
            <w:r>
              <w:rPr>
                <w:rFonts w:hint="eastAsia" w:ascii="仿宋_GB2312" w:hAnsi="仿宋_GB2312" w:eastAsia="仿宋_GB2312" w:cs="仿宋_GB2312"/>
                <w:bCs/>
                <w:color w:val="000000"/>
                <w:sz w:val="28"/>
                <w:szCs w:val="28"/>
                <w:lang w:val="en-US"/>
              </w:rPr>
              <w:t>了解；掌握铁路货物运输的基本条件，掌握货运设施设备的配置与使用，熟悉货运生产计划，掌握货物运输的作业程序，熟悉货运管理的基本方法，掌握铁路货物运输的组织形式，掌握集装箱运输的相关设备与运输组织，掌握货物装载加固、超限计算的基本原理，熟悉危险货物运输的设施设备与运输组织，熟悉鲜活货物运输的相关原理与运输组织，对铁路货物运输发展及改革趋势有较为清楚的了解。</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16.</w:t>
            </w:r>
            <w:r>
              <w:rPr>
                <w:rFonts w:hint="eastAsia" w:ascii="仿宋_GB2312" w:hAnsi="仿宋_GB2312" w:eastAsia="仿宋_GB2312" w:cs="仿宋_GB2312"/>
                <w:bCs/>
                <w:color w:val="000000"/>
                <w:sz w:val="28"/>
                <w:szCs w:val="28"/>
                <w:lang w:val="en-US"/>
              </w:rPr>
              <w:t>铁路旅客运输</w:t>
            </w:r>
          </w:p>
          <w:p>
            <w:pPr>
              <w:pStyle w:val="4"/>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hint="eastAsia" w:ascii="仿宋_GB2312" w:hAnsi="仿宋_GB2312" w:eastAsia="仿宋_GB2312" w:cs="仿宋_GB2312"/>
                <w:bCs/>
                <w:color w:val="000000"/>
                <w:sz w:val="28"/>
                <w:szCs w:val="28"/>
                <w:lang w:val="en-US"/>
              </w:rPr>
              <w:t>本课程主要内容是系统介绍客运组织的基本理论和基本方法，使学生掌握客运需求与产品、客运设施设备、旅客运输计划、旅客列车运行计划、动车组周转计划、乘务计划、站车工作组织、日常生产组织与客运现代化等内容，通过学习本课程，使学生为毕业后从事旅客运输科学研究、旅客运输规划与宏观决策，旅客运输技术管理和生产调度等工作打下坚实的基础。</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17.</w:t>
            </w:r>
            <w:r>
              <w:rPr>
                <w:rFonts w:hint="eastAsia" w:ascii="仿宋_GB2312" w:hAnsi="仿宋_GB2312" w:eastAsia="仿宋_GB2312" w:cs="仿宋_GB2312"/>
                <w:bCs/>
                <w:color w:val="000000"/>
                <w:sz w:val="28"/>
                <w:szCs w:val="28"/>
                <w:lang w:val="en-US"/>
              </w:rPr>
              <w:t>供应链管理</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根据国内外供应链管理最新发展，结合我国供应链管理应用的实际情况具体介绍了供应链管理结构模型、设计构建、策略方法、实施原则步骤，供应链管理中的生产计划与控制、采购管理、库存管理、绩效评价、信息技术、电子化供应链管理等基础理论知识，并且探讨了我国供应链管理发展现状与未来发展方向和对策。通过学习本课程，使学生具备</w:t>
            </w:r>
            <w:r>
              <w:rPr>
                <w:rFonts w:hint="eastAsia" w:ascii="仿宋_GB2312" w:hAnsi="仿宋_GB2312" w:eastAsia="仿宋_GB2312" w:cs="仿宋_GB2312"/>
                <w:bCs/>
                <w:color w:val="000000"/>
                <w:sz w:val="28"/>
                <w:szCs w:val="28"/>
                <w:lang w:val="en-US"/>
              </w:rPr>
              <w:t>供应链管理的能力。</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18.</w:t>
            </w:r>
            <w:r>
              <w:rPr>
                <w:rFonts w:hint="eastAsia" w:ascii="仿宋_GB2312" w:hAnsi="仿宋_GB2312" w:eastAsia="仿宋_GB2312" w:cs="仿宋_GB2312"/>
                <w:bCs/>
                <w:color w:val="000000"/>
                <w:sz w:val="28"/>
                <w:szCs w:val="28"/>
                <w:lang w:val="en-US"/>
              </w:rPr>
              <w:t>城市公共交通</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系统地介绍了我国城市公共交通的发展，阐述了城市公共交通的基本知识与原理。主要内容包括客流及客流调查，客运市场，票制票价，城市公共交通的基础设施，公交运营的线路能力、行车速度与车辆利用，行车时刻表，日常调度工作，公交运营调度管理信息系统，公交运营指标的评价与统计，快速公共交通系统，城市轨道交通运营管理，城市公交服务管理，城市公交服务质量管理等。通过学习本课程，使学生具备</w:t>
            </w:r>
            <w:r>
              <w:rPr>
                <w:rFonts w:hint="eastAsia" w:ascii="仿宋_GB2312" w:hAnsi="仿宋_GB2312" w:eastAsia="仿宋_GB2312" w:cs="仿宋_GB2312"/>
                <w:bCs/>
                <w:color w:val="000000"/>
                <w:sz w:val="28"/>
                <w:szCs w:val="28"/>
                <w:lang w:val="en-US"/>
              </w:rPr>
              <w:t>管理</w:t>
            </w:r>
            <w:r>
              <w:rPr>
                <w:rFonts w:hint="eastAsia" w:ascii="仿宋_GB2312" w:hAnsi="仿宋_GB2312" w:eastAsia="仿宋_GB2312" w:cs="仿宋_GB2312"/>
                <w:bCs/>
                <w:color w:val="000000"/>
                <w:sz w:val="28"/>
                <w:szCs w:val="28"/>
              </w:rPr>
              <w:t>城市公共交通运营</w:t>
            </w:r>
            <w:r>
              <w:rPr>
                <w:rFonts w:hint="eastAsia" w:ascii="仿宋_GB2312" w:hAnsi="仿宋_GB2312" w:eastAsia="仿宋_GB2312" w:cs="仿宋_GB2312"/>
                <w:bCs/>
                <w:color w:val="000000"/>
                <w:sz w:val="28"/>
                <w:szCs w:val="28"/>
                <w:lang w:val="en-US"/>
              </w:rPr>
              <w:t>系统</w:t>
            </w:r>
            <w:r>
              <w:rPr>
                <w:rFonts w:hint="eastAsia" w:ascii="仿宋_GB2312" w:hAnsi="仿宋_GB2312" w:eastAsia="仿宋_GB2312" w:cs="仿宋_GB2312"/>
                <w:bCs/>
                <w:color w:val="000000"/>
                <w:sz w:val="28"/>
                <w:szCs w:val="28"/>
              </w:rPr>
              <w:t>的能力。</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19.</w:t>
            </w:r>
            <w:r>
              <w:rPr>
                <w:rFonts w:hint="eastAsia" w:ascii="仿宋_GB2312" w:hAnsi="仿宋_GB2312" w:eastAsia="仿宋_GB2312" w:cs="仿宋_GB2312"/>
                <w:bCs/>
                <w:color w:val="000000"/>
                <w:sz w:val="28"/>
                <w:szCs w:val="28"/>
                <w:lang w:val="en-US"/>
              </w:rPr>
              <w:t>城市轨道交通系统规划与设计</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系统介绍轨道交通系统规划与设计的基本理论、基本方法和关键技术，通过学习本课程，使学生能应用理论、方法和技术解决城市轨道交通规划与设计领域的实际问题，并具备在该领域开展专业工作的能力。</w:t>
            </w:r>
          </w:p>
          <w:p>
            <w:pPr>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20.</w:t>
            </w:r>
            <w:r>
              <w:rPr>
                <w:rFonts w:hint="eastAsia" w:ascii="仿宋_GB2312" w:hAnsi="仿宋_GB2312" w:eastAsia="仿宋_GB2312" w:cs="仿宋_GB2312"/>
                <w:bCs/>
                <w:color w:val="000000"/>
                <w:sz w:val="28"/>
                <w:szCs w:val="28"/>
                <w:lang w:val="en-US"/>
              </w:rPr>
              <w:t>城市轨道交通运营管理</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系统地介绍了城市轨道交通运营管理的基本理论和方法，主要内容涵盖了城市轨道交通运输计划、列车运行图、运输能力、列车运行组织与调度指挥、车站及车场技术作业、应急运输组织、运营管理体制与投融资、客运管理、票价与票务管理、安全管理、多元化经营、经济效益评价等方面的内容。通过学习本课程，使学生具备管理城市轨道交通运营</w:t>
            </w:r>
            <w:r>
              <w:rPr>
                <w:rFonts w:hint="eastAsia" w:ascii="仿宋_GB2312" w:hAnsi="仿宋_GB2312" w:eastAsia="仿宋_GB2312" w:cs="仿宋_GB2312"/>
                <w:bCs/>
                <w:color w:val="000000"/>
                <w:sz w:val="28"/>
                <w:szCs w:val="28"/>
                <w:lang w:val="en-US"/>
              </w:rPr>
              <w:t>系统</w:t>
            </w:r>
            <w:r>
              <w:rPr>
                <w:rFonts w:hint="eastAsia" w:ascii="仿宋_GB2312" w:hAnsi="仿宋_GB2312" w:eastAsia="仿宋_GB2312" w:cs="仿宋_GB2312"/>
                <w:bCs/>
                <w:color w:val="000000"/>
                <w:sz w:val="28"/>
                <w:szCs w:val="28"/>
              </w:rPr>
              <w:t>的能力。</w:t>
            </w:r>
          </w:p>
          <w:p>
            <w:pPr>
              <w:pStyle w:val="4"/>
              <w:numPr>
                <w:ilvl w:val="0"/>
                <w:numId w:val="0"/>
              </w:numPr>
              <w:adjustRightInd w:val="0"/>
              <w:snapToGrid w:val="0"/>
              <w:spacing w:line="360" w:lineRule="auto"/>
              <w:ind w:firstLine="560" w:firstLineChars="200"/>
              <w:jc w:val="left"/>
              <w:rPr>
                <w:rFonts w:hint="eastAsia" w:ascii="仿宋_GB2312" w:hAnsi="仿宋_GB2312" w:eastAsia="仿宋_GB2312" w:cs="仿宋_GB2312"/>
                <w:bCs/>
                <w:color w:val="000000"/>
                <w:sz w:val="28"/>
                <w:szCs w:val="28"/>
                <w:lang w:eastAsia="zh-CN"/>
              </w:rPr>
            </w:pPr>
            <w:r>
              <w:rPr>
                <w:rFonts w:hint="eastAsia" w:ascii="仿宋_GB2312" w:hAnsi="仿宋_GB2312" w:eastAsia="仿宋_GB2312" w:cs="仿宋_GB2312"/>
                <w:bCs/>
                <w:color w:val="000000"/>
                <w:sz w:val="28"/>
                <w:szCs w:val="28"/>
                <w:lang w:val="en-US" w:eastAsia="zh-CN"/>
              </w:rPr>
              <w:t>21.</w:t>
            </w:r>
            <w:r>
              <w:rPr>
                <w:rFonts w:hint="eastAsia" w:ascii="仿宋_GB2312" w:hAnsi="仿宋_GB2312" w:eastAsia="仿宋_GB2312" w:cs="仿宋_GB2312"/>
                <w:bCs/>
                <w:color w:val="000000"/>
                <w:sz w:val="28"/>
                <w:szCs w:val="28"/>
              </w:rPr>
              <w:t>全国统一命题考试课程（略）</w:t>
            </w:r>
            <w:r>
              <w:rPr>
                <w:rFonts w:hint="eastAsia" w:ascii="仿宋_GB2312" w:hAnsi="仿宋_GB2312" w:eastAsia="仿宋_GB2312" w:cs="仿宋_GB2312"/>
                <w:bCs/>
                <w:color w:val="000000"/>
                <w:sz w:val="28"/>
                <w:szCs w:val="28"/>
                <w:lang w:eastAsia="zh-CN"/>
              </w:rPr>
              <w:t>。</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lang w:val="en-US"/>
              </w:rPr>
              <w:t>2</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六、实践性环节学习考核要求</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1</w:t>
            </w:r>
            <w:r>
              <w:rPr>
                <w:rFonts w:ascii="仿宋_GB2312" w:hAnsi="仿宋_GB2312" w:eastAsia="仿宋_GB2312" w:cs="仿宋_GB2312"/>
                <w:bCs/>
                <w:color w:val="000000"/>
                <w:sz w:val="28"/>
                <w:szCs w:val="28"/>
                <w:lang w:val="en-US"/>
              </w:rPr>
              <w:t>.</w:t>
            </w:r>
            <w:r>
              <w:rPr>
                <w:rFonts w:hint="eastAsia" w:ascii="仿宋_GB2312" w:hAnsi="仿宋_GB2312" w:eastAsia="仿宋_GB2312" w:cs="仿宋_GB2312"/>
                <w:bCs/>
                <w:color w:val="000000"/>
                <w:sz w:val="28"/>
                <w:szCs w:val="28"/>
              </w:rPr>
              <w:t>铁路运输方向及城市轨道交通方向含实践的课程及实践所占学分：供应链管理（实践）（</w:t>
            </w:r>
            <w:r>
              <w:rPr>
                <w:rFonts w:ascii="仿宋_GB2312" w:hAnsi="仿宋_GB2312" w:eastAsia="仿宋_GB2312" w:cs="仿宋_GB2312"/>
                <w:bCs/>
                <w:color w:val="000000"/>
                <w:sz w:val="28"/>
                <w:szCs w:val="28"/>
              </w:rPr>
              <w:t>2</w:t>
            </w:r>
            <w:r>
              <w:rPr>
                <w:rFonts w:hint="eastAsia" w:ascii="仿宋_GB2312" w:hAnsi="仿宋_GB2312" w:eastAsia="仿宋_GB2312" w:cs="仿宋_GB2312"/>
                <w:bCs/>
                <w:color w:val="000000"/>
                <w:sz w:val="28"/>
                <w:szCs w:val="28"/>
              </w:rPr>
              <w:t>学分）、集装箱运输与多式联运（实践）（</w:t>
            </w:r>
            <w:r>
              <w:rPr>
                <w:rFonts w:ascii="仿宋_GB2312" w:hAnsi="仿宋_GB2312" w:eastAsia="仿宋_GB2312" w:cs="仿宋_GB2312"/>
                <w:bCs/>
                <w:color w:val="000000"/>
                <w:sz w:val="28"/>
                <w:szCs w:val="28"/>
                <w:lang w:val="en-US"/>
              </w:rPr>
              <w:t>1</w:t>
            </w:r>
            <w:r>
              <w:rPr>
                <w:rFonts w:hint="eastAsia" w:ascii="仿宋_GB2312" w:hAnsi="仿宋_GB2312" w:eastAsia="仿宋_GB2312" w:cs="仿宋_GB2312"/>
                <w:bCs/>
                <w:color w:val="000000"/>
                <w:sz w:val="28"/>
                <w:szCs w:val="28"/>
              </w:rPr>
              <w:t>学分）。凡理论考试与实践环节考核两部分相结合的课程为一门课程，考生必须取得两个部分的合格成绩方能获得该门课程的学分。</w:t>
            </w:r>
          </w:p>
          <w:p>
            <w:pPr>
              <w:pStyle w:val="7"/>
              <w:snapToGrid w:val="0"/>
              <w:spacing w:line="360" w:lineRule="auto"/>
              <w:ind w:firstLine="31680"/>
              <w:jc w:val="left"/>
              <w:rPr>
                <w:rFonts w:hint="eastAsia" w:hAnsi="仿宋_GB2312" w:cs="仿宋_GB2312"/>
                <w:bCs/>
                <w:color w:val="000000"/>
                <w:sz w:val="28"/>
                <w:szCs w:val="28"/>
                <w:lang w:eastAsia="zh-CN"/>
              </w:rPr>
            </w:pPr>
            <w:r>
              <w:rPr>
                <w:rFonts w:hAnsi="仿宋_GB2312" w:cs="仿宋_GB2312"/>
                <w:bCs/>
                <w:color w:val="000000"/>
                <w:sz w:val="28"/>
                <w:szCs w:val="28"/>
              </w:rPr>
              <w:t>2</w:t>
            </w:r>
            <w:r>
              <w:rPr>
                <w:rFonts w:hAnsi="仿宋_GB2312" w:cs="仿宋_GB2312"/>
                <w:bCs/>
                <w:color w:val="000000"/>
                <w:sz w:val="28"/>
                <w:szCs w:val="28"/>
                <w:lang w:val="en-US"/>
              </w:rPr>
              <w:t>.</w:t>
            </w:r>
            <w:r>
              <w:rPr>
                <w:rFonts w:hint="eastAsia" w:hAnsi="仿宋_GB2312" w:cs="仿宋_GB2312"/>
                <w:bCs/>
                <w:color w:val="000000"/>
                <w:sz w:val="28"/>
                <w:szCs w:val="28"/>
              </w:rPr>
              <w:t>毕业论文</w:t>
            </w:r>
            <w:r>
              <w:rPr>
                <w:rFonts w:hint="eastAsia" w:hAnsi="仿宋_GB2312" w:cs="仿宋_GB2312"/>
                <w:bCs/>
                <w:color w:val="000000"/>
                <w:sz w:val="28"/>
                <w:szCs w:val="28"/>
                <w:lang w:eastAsia="zh-CN"/>
              </w:rPr>
              <w:t>。</w:t>
            </w:r>
          </w:p>
          <w:p>
            <w:pPr>
              <w:pStyle w:val="7"/>
              <w:snapToGrid w:val="0"/>
              <w:spacing w:line="360" w:lineRule="auto"/>
              <w:ind w:firstLine="31680"/>
              <w:jc w:val="left"/>
              <w:rPr>
                <w:rFonts w:hint="eastAsia" w:ascii="仿宋_GB2312" w:hAnsi="仿宋_GB2312" w:eastAsia="仿宋_GB2312" w:cs="仿宋_GB2312"/>
                <w:b/>
                <w:color w:val="000000"/>
                <w:kern w:val="2"/>
                <w:sz w:val="28"/>
                <w:szCs w:val="28"/>
                <w:lang w:val="en-US" w:eastAsia="zh-CN" w:bidi="ar-SA"/>
              </w:rPr>
            </w:pPr>
            <w:r>
              <w:rPr>
                <w:rFonts w:hint="eastAsia" w:ascii="仿宋_GB2312" w:hAnsi="仿宋_GB2312" w:eastAsia="仿宋_GB2312" w:cs="仿宋_GB2312"/>
                <w:b/>
                <w:color w:val="000000"/>
                <w:kern w:val="2"/>
                <w:sz w:val="28"/>
                <w:szCs w:val="28"/>
                <w:lang w:val="en-US" w:eastAsia="zh-CN" w:bidi="ar-SA"/>
              </w:rPr>
              <w:t>七、其他说明</w:t>
            </w:r>
          </w:p>
          <w:p>
            <w:pPr>
              <w:pStyle w:val="7"/>
              <w:snapToGrid w:val="0"/>
              <w:spacing w:line="360" w:lineRule="auto"/>
              <w:ind w:firstLine="31680"/>
              <w:jc w:val="left"/>
              <w:rPr>
                <w:rFonts w:hint="default" w:hAnsi="仿宋_GB2312" w:cs="仿宋_GB2312"/>
                <w:bCs/>
                <w:color w:val="000000"/>
                <w:sz w:val="28"/>
                <w:szCs w:val="28"/>
                <w:lang w:val="en-US" w:eastAsia="zh-CN"/>
              </w:rPr>
            </w:pPr>
            <w:r>
              <w:rPr>
                <w:rFonts w:hint="eastAsia" w:hAnsi="仿宋_GB2312" w:cs="仿宋_GB2312"/>
                <w:bCs/>
                <w:color w:val="000000"/>
                <w:sz w:val="28"/>
                <w:szCs w:val="28"/>
                <w:lang w:val="en-US" w:eastAsia="zh-CN"/>
              </w:rPr>
              <w:t>无。</w:t>
            </w:r>
            <w:bookmarkStart w:id="0" w:name="_GoBack"/>
            <w:bookmarkEnd w:id="0"/>
          </w:p>
        </w:tc>
      </w:tr>
    </w:tbl>
    <w:p>
      <w:pPr>
        <w:pStyle w:val="2"/>
        <w:bidi w:val="0"/>
        <w:rPr>
          <w:rFonts w:hint="eastAsia" w:ascii="Times New Roman" w:hAnsi="Times New Roman"/>
        </w:rPr>
      </w:pPr>
      <w:r>
        <w:rPr>
          <w:rFonts w:hint="eastAsia" w:ascii="Times New Roman" w:hAnsi="Times New Roman"/>
          <w:lang w:val="en-US" w:eastAsia="zh-CN"/>
        </w:rPr>
        <w:t>交通运输</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081801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13841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交通运输安全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14643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运输组织学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05108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民航市场营销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rPr>
              <w:t>　</w:t>
            </w:r>
            <w:r>
              <w:rPr>
                <w:rFonts w:hint="eastAsia" w:ascii="Times New Roman" w:hAnsi="Times New Roman" w:eastAsia="宋体" w:cs="宋体"/>
                <w:color w:val="auto"/>
                <w:kern w:val="0"/>
                <w:sz w:val="18"/>
                <w:szCs w:val="18"/>
                <w:lang w:val="en-US" w:eastAsia="zh-CN"/>
              </w:rPr>
              <w:t>航空运输方向</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05110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机场营运与管理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07701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现代导航方法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07710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签派程序与方法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07711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签派程序与方法（实践）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铁路货物运输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3"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rPr>
              <w:t>　</w:t>
            </w:r>
            <w:r>
              <w:rPr>
                <w:rFonts w:hint="eastAsia" w:ascii="Times New Roman" w:hAnsi="Times New Roman" w:eastAsia="宋体" w:cs="宋体"/>
                <w:color w:val="auto"/>
                <w:kern w:val="0"/>
                <w:sz w:val="18"/>
                <w:szCs w:val="18"/>
                <w:lang w:val="en-US" w:eastAsia="zh-CN"/>
              </w:rPr>
              <w:t>铁路运输方向</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14301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铁路旅客运输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14302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铁路运输组织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14303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铁路站场与枢纽</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12218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城市轨道交通运营管理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3"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城市轨道交通方向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13370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城市公共交通</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13373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城市轨道交通系统规划与设计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14302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铁路运输组织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07296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管理运筹学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13834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交通港站枢纽</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13838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交通规划</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13846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交通运输基础设施与技术装备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13847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交通运输经济学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05120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民航运输业务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航空运输方向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12220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集装箱运输与多式联运</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铁路运输方向/城市轨道交通方向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12221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集装箱运输与多式联运（实践）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13675</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供应链管理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13676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供应链管理（实践）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航空运输方向82学分，铁路运输方向81学分，城市轨道交通方向81学分。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rPr>
        <w:t>交通运输</w:t>
      </w:r>
      <w:r>
        <w:rPr>
          <w:rFonts w:hint="eastAsia" w:ascii="Times New Roman" w:hAnsi="Times New Roman"/>
          <w:lang w:val="en-US" w:eastAsia="zh-CN"/>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交通运输（专升本），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081718</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 xml:space="preserve"> 交通运输（专升本），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081801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07112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交通运输系统分析</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交通运输安全</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02568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交通运输经济</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14643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运输组织学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07114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现代物流学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14300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铁路货物运输</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07117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铁路运输组织学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7</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14301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铁路旅客运输</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07295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运输市场营销学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14302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铁路运输组织</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07301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交通工程学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14303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铁路站场与枢纽</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07303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外贸运输与保险</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13834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交通港站枢纽</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00015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交通运输安全</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00054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管理学原理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14643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运输组织学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05108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民航市场营销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05108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民航市场营销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05109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飞机租赁</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07701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现代导航方法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05110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机场营运与管理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05110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机场营运与管理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05111</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民航运输生产组织</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07710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签派程序与方法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07711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签派程序与方法（实践）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07113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国际货物运输</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13834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交通港站枢纽</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07297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旅客运输</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13838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交通规划</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07296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管理运筹学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07296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管理运筹学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00051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管理系统中计算机应用</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07296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管理运筹学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05774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城市轨道交通概论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交通运输基础设施与技术装备</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07299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交通运输管理信息系统</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交通运输经济学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07306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交通管理与控制</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12220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集装箱运输与多式联运</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10556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交通运输安全工程</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12221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集装箱运输与多式联运（实践）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05104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航空运输经济</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13675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供应链管理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05112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民航运输英语</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13676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供应链管理（实践）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05123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航空法</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05120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民航运输业务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pStyle w:val="2"/>
        <w:bidi w:val="0"/>
        <w:rPr>
          <w:rFonts w:hint="eastAsia" w:ascii="Times New Roman" w:hAnsi="Times New Roman"/>
          <w:lang w:val="en-US"/>
        </w:rPr>
      </w:pPr>
    </w:p>
    <w:p>
      <w:pPr>
        <w:pStyle w:val="2"/>
        <w:bidi w:val="0"/>
        <w:rPr>
          <w:rFonts w:ascii="Times New Roman" w:hAnsi="Times New Roman"/>
        </w:rPr>
      </w:pPr>
      <w:r>
        <w:rPr>
          <w:rFonts w:hint="eastAsia" w:ascii="Times New Roman" w:hAnsi="Times New Roman"/>
          <w:lang w:val="en-US"/>
        </w:rPr>
        <w:t>交通运输</w:t>
      </w:r>
      <w:r>
        <w:rPr>
          <w:rFonts w:hint="eastAsia" w:ascii="Times New Roman" w:hAnsi="Times New Roman"/>
          <w:lang w:val="en-US" w:eastAsia="zh-CN"/>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空中交通运输（专升本），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081715</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 xml:space="preserve"> 交通运输（专升本），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081801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00015　　　　　　　</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交通运输安全</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07696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航线气象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14643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运输组织学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07697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飞行性能与计划</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05108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民航市场营销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07700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航行情报</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05110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机场营运与管理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07701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现代导航方法</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07701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现代导航方法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07702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现代飞机系统</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05110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机场营运与管理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签派程序与方法</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07710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签派程序与方法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签派程序与方法（实践）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07711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签派程序与方法（实践）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00051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管理系统中计算机应用</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交通运输经济学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07694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人的因素</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13847</w:t>
            </w:r>
          </w:p>
        </w:tc>
        <w:tc>
          <w:tcPr>
            <w:tcW w:w="128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交通运输经济学</w:t>
            </w:r>
          </w:p>
        </w:tc>
        <w:tc>
          <w:tcPr>
            <w:tcW w:w="33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07695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人的因素（实践）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128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p>
        </w:tc>
        <w:tc>
          <w:tcPr>
            <w:tcW w:w="33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07693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实用管理学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07296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管理运筹学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飞行程序设计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13834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交通港站枢纽</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飞行程序设计（实践）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13838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交通规划</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机场管制理论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13846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交通运输基础设施与技术装备</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机场管制理论（实践）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05120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民航运输业务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07720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程序管制理论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FF0000"/>
                <w:kern w:val="2"/>
                <w:sz w:val="18"/>
                <w:szCs w:val="18"/>
                <w:lang w:val="en-US" w:eastAsia="zh-CN" w:bidi="ar-SA"/>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FF0000"/>
                <w:kern w:val="2"/>
                <w:sz w:val="18"/>
                <w:szCs w:val="18"/>
                <w:lang w:val="en-US" w:eastAsia="zh-CN" w:bidi="ar-SA"/>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FF0000"/>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07721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程序管制理论（实践）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FF0000"/>
                <w:kern w:val="2"/>
                <w:sz w:val="18"/>
                <w:szCs w:val="18"/>
                <w:lang w:val="en-US" w:eastAsia="zh-CN" w:bidi="ar-SA"/>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FF0000"/>
                <w:kern w:val="2"/>
                <w:sz w:val="18"/>
                <w:szCs w:val="18"/>
                <w:lang w:val="en-US" w:eastAsia="zh-CN" w:bidi="ar-SA"/>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FF0000"/>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07722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雷达管制基础理论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07723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雷达管制基础理论（实践）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01434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形体训练（实践）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01430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危险品运输</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03537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文化心理学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00199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中外民俗</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07705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航空燃气涡轮运力装置</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07706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驾驶舱资源管理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07707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航空电子设备</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sz w:val="18"/>
                <w:szCs w:val="18"/>
                <w:lang w:val="en-US" w:eastAsia="zh-CN"/>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sz w:val="18"/>
                <w:szCs w:val="18"/>
                <w:lang w:val="en-US" w:eastAsia="zh-CN"/>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07712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专业英语听力</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rPr>
                <w:rFonts w:hint="eastAsia" w:ascii="Times New Roman" w:hAnsi="Times New Roman" w:eastAsia="宋体" w:cs="宋体"/>
                <w:color w:val="auto"/>
                <w:kern w:val="2"/>
                <w:sz w:val="18"/>
                <w:szCs w:val="18"/>
                <w:lang w:val="en-US" w:eastAsia="zh-CN" w:bidi="ar-SA"/>
              </w:rPr>
            </w:pP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eastAsia" w:ascii="Times New Roman" w:hAnsi="Times New Roman" w:eastAsia="宋体" w:cs="宋体"/>
                <w:color w:val="auto"/>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288" w:lineRule="auto"/>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交通运输（专升本）专业教材明细表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1170"/>
        <w:gridCol w:w="885"/>
        <w:gridCol w:w="840"/>
        <w:gridCol w:w="2550"/>
        <w:gridCol w:w="2675"/>
        <w:gridCol w:w="1360"/>
        <w:gridCol w:w="2487"/>
        <w:gridCol w:w="1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交通运输安全</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交通运输安全管理</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秦进</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14643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运输组织学</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交通运输组织学</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户佐安</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05108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民航市场营销</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空运市场营销</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刘敏文</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05110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机场营运与管理</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机场营运与管理</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张君</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07701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现代导航方法</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领航学</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程擎</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07710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签派程序与方法</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签派程序与方法</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罗凤娥</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07711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签派程序与方法（实践）</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铁路货物运输</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铁路货物运输</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刘作义</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铁路旅客运输</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旅客运输组织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杜文</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铁路运输组织</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铁路行车组织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闫海峰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铁路站场与枢纽</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铁路站场及枢纽</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李海鹰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12218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城市轨道交通运营管理</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城市轨道交通运营管理</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马驷</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13370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城市公共交通</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城市公共交通</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宋瑞</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13373</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城市轨道交通系统规划与设计</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城市轨道交通规划与设计</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毛保华</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14302</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铁路运输组织</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铁路行车组织</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闫海峰</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07296</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管理运筹学</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运筹学教程</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胡运权</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13834</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交通港站枢纽</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交通港站与枢纽设计</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胡永举、黄芳</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13838</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交通规划</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交通规划原理</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邵春福</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2022年第3版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13846</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交通运输基础设施与技术装备</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交通运输设备</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周桂良</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2020年4月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13847</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交通运输经济学</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交通运输经济</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帅斌、李明、胡骥</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05120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民航运输业务</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民航客货运输实务</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赵影、钟小东、李永、张玉</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12220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集装箱运输与多式联运</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集装箱运输与多式联运</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刘丽艳</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12221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集装箱运输与多式联运（实践）</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13675</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供应链管理</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供应链管理</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李耀华</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081801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13676</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供应链管理（实践）</w:t>
            </w:r>
          </w:p>
        </w:tc>
        <w:tc>
          <w:tcPr>
            <w:tcW w:w="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B59D86"/>
    <w:multiLevelType w:val="singleLevel"/>
    <w:tmpl w:val="E4B59D86"/>
    <w:lvl w:ilvl="0" w:tentative="0">
      <w:start w:val="4"/>
      <w:numFmt w:val="chineseCounting"/>
      <w:suff w:val="nothing"/>
      <w:lvlText w:val="%1、"/>
      <w:lvlJc w:val="left"/>
      <w:rPr>
        <w:rFonts w:hint="eastAsia" w:cs="Times New Roman"/>
      </w:rPr>
    </w:lvl>
  </w:abstractNum>
  <w:abstractNum w:abstractNumId="1">
    <w:nsid w:val="38683397"/>
    <w:multiLevelType w:val="singleLevel"/>
    <w:tmpl w:val="38683397"/>
    <w:lvl w:ilvl="0" w:tentative="0">
      <w:start w:val="1"/>
      <w:numFmt w:val="chineseCounting"/>
      <w:suff w:val="nothing"/>
      <w:lvlText w:val="%1、"/>
      <w:lvlJc w:val="left"/>
      <w:pPr>
        <w:ind w:firstLine="42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23B25429"/>
    <w:rsid w:val="3A1D34EC"/>
    <w:rsid w:val="4D454E3E"/>
    <w:rsid w:val="5A3A4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customStyle="1" w:styleId="7">
    <w:name w:val="考试计划样式1"/>
    <w:basedOn w:val="1"/>
    <w:qFormat/>
    <w:uiPriority w:val="99"/>
    <w:pPr>
      <w:spacing w:line="560" w:lineRule="exact"/>
      <w:ind w:firstLine="640" w:firstLineChars="200"/>
    </w:pPr>
    <w:rPr>
      <w:rFonts w:ascii="仿宋_GB2312" w:eastAsia="仿宋_GB231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2023-10-29T05:08:00Z</dcterms:created>
  <dc:creator>Administrator</dc:creator>
  <cp:lastModifiedBy>淡定</cp:lastModifiedBy>
  <dcterms:modified xsi:type="dcterms:W3CDTF">2023-10-29T08:56:24Z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327E1BE5455D464B97F9B6ACB59C8AD3_12</vt:lpwstr>
  </property>
</Properties>
</file>