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3AFE3">
      <w:pPr>
        <w:jc w:val="left"/>
        <w:rPr>
          <w:rFonts w:ascii="楷体" w:hAnsi="楷体" w:eastAsia="楷体" w:cs="楷体"/>
          <w:b/>
          <w:bCs/>
          <w:w w:val="90"/>
          <w:sz w:val="24"/>
        </w:rPr>
      </w:pPr>
      <w:r>
        <w:rPr>
          <w:rFonts w:hint="eastAsia" w:ascii="楷体" w:hAnsi="楷体" w:eastAsia="楷体" w:cs="楷体"/>
          <w:b/>
          <w:bCs/>
          <w:w w:val="90"/>
          <w:sz w:val="24"/>
          <w:lang w:val="en-US" w:eastAsia="zh-CN"/>
        </w:rPr>
        <w:t>重庆工商大学</w:t>
      </w:r>
      <w:r>
        <w:rPr>
          <w:rFonts w:hint="eastAsia" w:ascii="楷体" w:hAnsi="楷体" w:eastAsia="楷体" w:cs="楷体"/>
          <w:b/>
          <w:bCs/>
          <w:w w:val="90"/>
          <w:sz w:val="24"/>
        </w:rPr>
        <w:t>高等教育自学考试</w:t>
      </w:r>
    </w:p>
    <w:p w14:paraId="669DF0DF">
      <w:pPr>
        <w:jc w:val="center"/>
        <w:rPr>
          <w:rFonts w:ascii="楷体" w:hAnsi="楷体" w:eastAsia="楷体" w:cs="楷体"/>
          <w:b/>
          <w:bCs/>
          <w:w w:val="90"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44"/>
          <w:szCs w:val="44"/>
          <w:lang w:val="en-US" w:eastAsia="zh-CN"/>
        </w:rPr>
        <w:t>市场营销</w:t>
      </w:r>
      <w:r>
        <w:rPr>
          <w:rFonts w:hint="eastAsia" w:ascii="楷体" w:hAnsi="楷体" w:eastAsia="楷体" w:cs="楷体"/>
          <w:b/>
          <w:bCs/>
          <w:w w:val="90"/>
          <w:sz w:val="44"/>
          <w:szCs w:val="44"/>
        </w:rPr>
        <w:t>专业</w:t>
      </w:r>
    </w:p>
    <w:p w14:paraId="175C5087">
      <w:pPr>
        <w:jc w:val="center"/>
        <w:rPr>
          <w:rFonts w:ascii="楷体" w:hAnsi="楷体" w:eastAsia="楷体" w:cs="楷体"/>
          <w:b/>
          <w:bCs/>
          <w:w w:val="90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网络营销与策划(实践)  课程代码：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>00909</w:t>
      </w:r>
    </w:p>
    <w:p w14:paraId="5A17B666">
      <w:pPr>
        <w:spacing w:line="360" w:lineRule="auto"/>
        <w:jc w:val="center"/>
        <w:rPr>
          <w:rFonts w:hint="eastAsia" w:ascii="楷体" w:hAnsi="楷体" w:eastAsia="楷体" w:cs="楷体"/>
          <w:b/>
          <w:bCs/>
          <w:color w:val="auto"/>
          <w:w w:val="90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color w:val="auto"/>
          <w:w w:val="90"/>
          <w:sz w:val="28"/>
          <w:szCs w:val="28"/>
          <w:lang w:val="en-US" w:eastAsia="zh-CN"/>
        </w:rPr>
        <w:t>XX产品</w:t>
      </w:r>
      <w:r>
        <w:rPr>
          <w:rFonts w:hint="eastAsia" w:ascii="楷体" w:hAnsi="楷体" w:eastAsia="楷体" w:cs="楷体"/>
          <w:b/>
          <w:bCs/>
          <w:color w:val="auto"/>
          <w:w w:val="90"/>
          <w:sz w:val="28"/>
          <w:szCs w:val="28"/>
        </w:rPr>
        <w:t>网络营销</w:t>
      </w:r>
      <w:r>
        <w:rPr>
          <w:rFonts w:hint="eastAsia" w:ascii="楷体" w:hAnsi="楷体" w:eastAsia="楷体" w:cs="楷体"/>
          <w:b/>
          <w:bCs/>
          <w:color w:val="auto"/>
          <w:w w:val="90"/>
          <w:sz w:val="28"/>
          <w:szCs w:val="28"/>
          <w:lang w:val="en-US" w:eastAsia="zh-CN"/>
        </w:rPr>
        <w:t>策划</w:t>
      </w:r>
      <w:r>
        <w:rPr>
          <w:rFonts w:hint="eastAsia" w:ascii="楷体" w:hAnsi="楷体" w:eastAsia="楷体" w:cs="楷体"/>
          <w:b/>
          <w:bCs/>
          <w:color w:val="auto"/>
          <w:w w:val="90"/>
          <w:sz w:val="28"/>
          <w:szCs w:val="28"/>
        </w:rPr>
        <w:t>方案（考生填写）</w:t>
      </w:r>
    </w:p>
    <w:p w14:paraId="6EB59A29">
      <w:pPr>
        <w:jc w:val="center"/>
        <w:rPr>
          <w:rFonts w:ascii="楷体" w:hAnsi="楷体" w:eastAsia="楷体" w:cs="楷体"/>
          <w:b/>
          <w:bCs/>
          <w:color w:val="FF0000"/>
          <w:sz w:val="28"/>
          <w:szCs w:val="28"/>
        </w:rPr>
      </w:pPr>
    </w:p>
    <w:tbl>
      <w:tblPr>
        <w:tblStyle w:val="4"/>
        <w:tblW w:w="9150" w:type="dxa"/>
        <w:tblInd w:w="-2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1455"/>
        <w:gridCol w:w="960"/>
        <w:gridCol w:w="1785"/>
        <w:gridCol w:w="1395"/>
        <w:gridCol w:w="2160"/>
      </w:tblGrid>
      <w:tr w14:paraId="2F82E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95" w:type="dxa"/>
            <w:shd w:val="clear" w:color="auto" w:fill="auto"/>
          </w:tcPr>
          <w:p w14:paraId="314B4D89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考生姓名</w:t>
            </w:r>
          </w:p>
        </w:tc>
        <w:tc>
          <w:tcPr>
            <w:tcW w:w="1455" w:type="dxa"/>
            <w:shd w:val="clear" w:color="auto" w:fill="auto"/>
          </w:tcPr>
          <w:p w14:paraId="0A2B049A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960" w:type="dxa"/>
            <w:shd w:val="clear" w:color="auto" w:fill="auto"/>
          </w:tcPr>
          <w:p w14:paraId="13786AC6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专业</w:t>
            </w:r>
          </w:p>
        </w:tc>
        <w:tc>
          <w:tcPr>
            <w:tcW w:w="1785" w:type="dxa"/>
            <w:shd w:val="clear" w:color="auto" w:fill="auto"/>
          </w:tcPr>
          <w:p w14:paraId="0A499C21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1395" w:type="dxa"/>
            <w:shd w:val="clear" w:color="auto" w:fill="auto"/>
          </w:tcPr>
          <w:p w14:paraId="512031DB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准考证号</w:t>
            </w:r>
          </w:p>
        </w:tc>
        <w:tc>
          <w:tcPr>
            <w:tcW w:w="2160" w:type="dxa"/>
            <w:shd w:val="clear" w:color="auto" w:fill="auto"/>
          </w:tcPr>
          <w:p w14:paraId="2BF8A709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</w:tr>
      <w:tr w14:paraId="7C333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95" w:type="dxa"/>
            <w:shd w:val="clear" w:color="auto" w:fill="auto"/>
            <w:vAlign w:val="center"/>
          </w:tcPr>
          <w:p w14:paraId="3BE33D43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方案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名称</w:t>
            </w:r>
          </w:p>
        </w:tc>
        <w:tc>
          <w:tcPr>
            <w:tcW w:w="7755" w:type="dxa"/>
            <w:gridSpan w:val="5"/>
            <w:shd w:val="clear" w:color="auto" w:fill="auto"/>
            <w:vAlign w:val="center"/>
          </w:tcPr>
          <w:p w14:paraId="21471ADD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</w:tr>
      <w:tr w14:paraId="2DFB4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95" w:type="dxa"/>
            <w:shd w:val="clear" w:color="auto" w:fill="auto"/>
            <w:vAlign w:val="center"/>
          </w:tcPr>
          <w:p w14:paraId="363319FD">
            <w:pPr>
              <w:spacing w:line="360" w:lineRule="auto"/>
              <w:jc w:val="center"/>
              <w:rPr>
                <w:rFonts w:hint="default" w:ascii="楷体" w:hAnsi="楷体" w:eastAsia="楷体" w:cs="楷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所属行业</w:t>
            </w:r>
          </w:p>
        </w:tc>
        <w:tc>
          <w:tcPr>
            <w:tcW w:w="7755" w:type="dxa"/>
            <w:gridSpan w:val="5"/>
            <w:shd w:val="clear" w:color="auto" w:fill="auto"/>
            <w:vAlign w:val="center"/>
          </w:tcPr>
          <w:p w14:paraId="7AE6DAF8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</w:tr>
    </w:tbl>
    <w:p w14:paraId="791F0D91">
      <w:pPr>
        <w:jc w:val="left"/>
        <w:rPr>
          <w:rFonts w:hint="eastAsia" w:ascii="楷体" w:hAnsi="楷体" w:eastAsia="楷体" w:cs="楷体"/>
          <w:b/>
          <w:bCs/>
        </w:rPr>
      </w:pPr>
    </w:p>
    <w:p w14:paraId="179BE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lang w:val="en-US" w:eastAsia="zh-CN"/>
        </w:rPr>
        <w:t>方案</w:t>
      </w:r>
      <w:r>
        <w:rPr>
          <w:rFonts w:hint="eastAsia" w:asciiTheme="minorEastAsia" w:hAnsiTheme="minorEastAsia" w:eastAsiaTheme="minorEastAsia" w:cstheme="minorEastAsia"/>
          <w:b/>
          <w:bCs/>
          <w:sz w:val="24"/>
        </w:rPr>
        <w:t>背景与意义</w:t>
      </w:r>
      <w:r>
        <w:rPr>
          <w:rFonts w:hint="eastAsia" w:asciiTheme="minorEastAsia" w:hAnsiTheme="minorEastAsia" w:eastAsiaTheme="minorEastAsia" w:cstheme="minorEastAsia"/>
          <w:sz w:val="24"/>
        </w:rPr>
        <w:t>（请用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4"/>
        </w:rPr>
        <w:t>00字左右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围绕选题主体，阐释相关行业发展态势、市场现实诉求等背景，明确该网络营销方案的设计对解决行业现存痛点、提升企业运营效能等的价值及意义）</w:t>
      </w:r>
    </w:p>
    <w:p w14:paraId="305D9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</w:rPr>
      </w:pPr>
    </w:p>
    <w:p w14:paraId="42785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lang w:val="en-US" w:eastAsia="zh-CN"/>
        </w:rPr>
        <w:t>2.方案</w:t>
      </w:r>
      <w:r>
        <w:rPr>
          <w:rFonts w:hint="eastAsia" w:asciiTheme="minorEastAsia" w:hAnsiTheme="minorEastAsia" w:eastAsiaTheme="minorEastAsia" w:cstheme="minorEastAsia"/>
          <w:b/>
          <w:bCs/>
          <w:sz w:val="24"/>
        </w:rPr>
        <w:t>目标</w:t>
      </w:r>
      <w:r>
        <w:rPr>
          <w:rFonts w:hint="eastAsia" w:asciiTheme="minorEastAsia" w:hAnsiTheme="minorEastAsia" w:eastAsiaTheme="minorEastAsia" w:cstheme="minorEastAsia"/>
          <w:sz w:val="24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请用300字左右描述通过该网络营销方案的设计，能够达成与行业特性适配的总体目标及具体目标，包括品牌传播、用户增长、销量提升、转化率优化等可量化指标）</w:t>
      </w:r>
    </w:p>
    <w:p w14:paraId="6F852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lang w:val="en-US" w:eastAsia="zh-CN"/>
        </w:rPr>
      </w:pPr>
    </w:p>
    <w:p w14:paraId="29613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lang w:val="en-US" w:eastAsia="zh-CN"/>
        </w:rPr>
        <w:t>3.前期准备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（请用600字左右说明方案实施前的系统性准备工作，包括行业研究、竞品解构、用户画像分析、工具平台配置、团队分工、风险预案等）</w:t>
      </w:r>
    </w:p>
    <w:p w14:paraId="1B69B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lang w:val="en-US" w:eastAsia="zh-CN"/>
        </w:rPr>
      </w:pPr>
    </w:p>
    <w:p w14:paraId="4CA30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lang w:val="en-US" w:eastAsia="zh-CN"/>
        </w:rPr>
        <w:t>4.实施过程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（请用3000字左右描述方案执行流程，包括网络营销策略设计如内容生产机制、社交媒体矩阵搭建、搜索引擎优化路径等；工具与平台应用如数据分析工具的指标体系、营销自动化工具的流程配置、电商平台的运营规则等；阶段性任务分解与时间节点管控；数据监测维度与动态调整机制；资源整合模式与团队协作方式）</w:t>
      </w:r>
    </w:p>
    <w:p w14:paraId="491A5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lang w:val="en-US" w:eastAsia="zh-CN"/>
        </w:rPr>
      </w:pPr>
    </w:p>
    <w:p w14:paraId="433F2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lang w:val="en-US" w:eastAsia="zh-CN"/>
        </w:rPr>
        <w:t>5.效果评估与优化建议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（请用500字左右结合数据指标如曝光量、点击率、转化率、投资回报率等分析项目实际执行效果，对比目标完成情况，提出包含策略迭代方向、工具升级路径等在内的优化建议）</w:t>
      </w:r>
    </w:p>
    <w:p w14:paraId="166ED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lang w:val="en-US" w:eastAsia="zh-CN"/>
        </w:rPr>
      </w:pPr>
    </w:p>
    <w:p w14:paraId="29552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lang w:val="en-US" w:eastAsia="zh-CN"/>
        </w:rPr>
        <w:t>6.方案</w:t>
      </w:r>
      <w:r>
        <w:rPr>
          <w:rFonts w:hint="eastAsia" w:asciiTheme="minorEastAsia" w:hAnsiTheme="minorEastAsia" w:eastAsiaTheme="minorEastAsia" w:cstheme="minorEastAsia"/>
          <w:b/>
          <w:bCs/>
          <w:sz w:val="24"/>
        </w:rPr>
        <w:t>反思</w:t>
      </w:r>
      <w:r>
        <w:rPr>
          <w:rFonts w:hint="eastAsia" w:asciiTheme="minorEastAsia" w:hAnsiTheme="minorEastAsia" w:eastAsiaTheme="minorEastAsia" w:cstheme="minorEastAsia"/>
          <w:sz w:val="24"/>
        </w:rPr>
        <w:t>（请用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4"/>
        </w:rPr>
        <w:t>00字左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右总结实践过程中存在的问题如策略设计偏差、执行落实障碍、资源预估配置不合理等，并提出改进措施）</w:t>
      </w:r>
    </w:p>
    <w:p w14:paraId="2AA207C7">
      <w:pPr>
        <w:jc w:val="left"/>
        <w:rPr>
          <w:rFonts w:hint="eastAsia" w:asciiTheme="minorEastAsia" w:hAnsiTheme="minorEastAsia" w:eastAsiaTheme="minorEastAsia" w:cstheme="minorEastAsia"/>
          <w:sz w:val="24"/>
        </w:rPr>
      </w:pPr>
    </w:p>
    <w:p w14:paraId="66E3F256">
      <w:pPr>
        <w:jc w:val="left"/>
        <w:rPr>
          <w:rFonts w:hint="eastAsia" w:ascii="楷体" w:hAnsi="楷体" w:eastAsia="楷体" w:cs="楷体"/>
          <w:sz w:val="24"/>
        </w:rPr>
      </w:pPr>
    </w:p>
    <w:p w14:paraId="6BA9D2F4">
      <w:pPr>
        <w:ind w:left="0" w:leftChars="0" w:firstLine="422" w:firstLineChars="175"/>
        <w:rPr>
          <w:rFonts w:hint="eastAsia" w:eastAsiaTheme="minorEastAsia"/>
          <w:color w:val="0000FF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格式规范要求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15C64EAA">
      <w:pPr>
        <w:ind w:left="0" w:leftChars="0" w:firstLine="420" w:firstLineChars="175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字体排版：正文采用宋体小四号字，标准字间距，1.5倍行距，段落间距设置为段前0.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5行，页码居中。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所有标点符号使用宋体全角形式，英文部分采用小四号Times New Roman字体。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标题编号采用多级编号方式，具体如下：一级标题编号为1．、2．、3．，使用黑体四号字；二级标题编号为1.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3，使用黑体小四号字；三级标题编号为1.1.1、1.1.2、1.1.3，使用宋体小四号字。</w:t>
      </w:r>
    </w:p>
    <w:p w14:paraId="3B07E15E">
      <w:pPr>
        <w:ind w:left="0" w:leftChars="0" w:firstLine="420" w:firstLineChars="175"/>
        <w:rPr>
          <w:rFonts w:hint="eastAsia" w:eastAsia="宋体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原创性要求：报告必须由考生独立完成，严禁抄袭行为（引用内容需明确标注来源，且引用篇幅不得超过报告总字数的10%）。</w:t>
      </w:r>
    </w:p>
    <w:p w14:paraId="38DA9995">
      <w:pPr>
        <w:ind w:left="0" w:leftChars="0" w:firstLine="422" w:firstLineChars="175"/>
        <w:rPr>
          <w:rFonts w:hint="eastAsia" w:ascii="黑体" w:hAnsi="黑体" w:eastAsia="黑体" w:cs="黑体"/>
          <w:b/>
          <w:bCs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5B6963AD">
      <w:pPr>
        <w:ind w:left="0" w:leftChars="0" w:firstLine="420" w:firstLineChars="175"/>
        <w:rPr>
          <w:rFonts w:hint="eastAsia" w:eastAsia="宋体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报告需以Word文档形式（.doc或.docx格式）提交，文件命名格式为“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准考证号-考生姓名-网络营销策划方案”（例如：“010220240011-张三-网络营销策划方案”）。</w:t>
      </w:r>
    </w:p>
    <w:p w14:paraId="31389AD3">
      <w:pPr>
        <w:ind w:firstLine="482" w:firstLineChars="200"/>
        <w:rPr>
          <w:rFonts w:hint="eastAsia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提交时间：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报名时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提交。</w:t>
      </w:r>
    </w:p>
    <w:p w14:paraId="6807AD81">
      <w:pPr>
        <w:jc w:val="left"/>
        <w:rPr>
          <w:rFonts w:hint="default" w:ascii="Times New Roman" w:hAnsi="Times New Roman" w:eastAsiaTheme="minorEastAsia"/>
          <w:color w:val="EE0000"/>
          <w:sz w:val="24"/>
          <w:lang w:val="en-US"/>
        </w:rPr>
        <w:sectPr>
          <w:footerReference r:id="rId3" w:type="default"/>
          <w:pgSz w:w="11906" w:h="16838"/>
          <w:pgMar w:top="1191" w:right="1797" w:bottom="873" w:left="1797" w:header="851" w:footer="992" w:gutter="0"/>
          <w:cols w:space="425" w:num="1"/>
          <w:docGrid w:type="lines" w:linePitch="312" w:charSpace="0"/>
        </w:sectPr>
      </w:pPr>
    </w:p>
    <w:p w14:paraId="77093EF0">
      <w:pPr>
        <w:jc w:val="left"/>
        <w:rPr>
          <w:rFonts w:hint="eastAsia" w:ascii="楷体" w:hAnsi="楷体" w:eastAsia="楷体" w:cs="楷体"/>
          <w:b/>
          <w:bCs/>
          <w:color w:val="FF0000"/>
          <w:sz w:val="44"/>
          <w:szCs w:val="44"/>
          <w:lang w:eastAsia="zh-CN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课程名称：网络营销与策划(实践)   课程代码：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>00909</w:t>
      </w:r>
    </w:p>
    <w:p w14:paraId="16A28400">
      <w:pPr>
        <w:jc w:val="center"/>
        <w:rPr>
          <w:rFonts w:hint="eastAsia" w:ascii="楷体" w:hAnsi="楷体" w:eastAsia="楷体" w:cs="楷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楷体" w:hAnsi="楷体" w:eastAsia="楷体" w:cs="楷体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XX产品</w:t>
      </w:r>
      <w:r>
        <w:rPr>
          <w:rFonts w:hint="eastAsia" w:ascii="楷体" w:hAnsi="楷体" w:eastAsia="楷体" w:cs="楷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网络营销</w:t>
      </w:r>
      <w:r>
        <w:rPr>
          <w:rFonts w:hint="eastAsia" w:ascii="楷体" w:hAnsi="楷体" w:eastAsia="楷体" w:cs="楷体"/>
          <w:b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楷体" w:hAnsi="楷体" w:eastAsia="楷体" w:cs="楷体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策划</w:t>
      </w:r>
      <w:r>
        <w:rPr>
          <w:rFonts w:hint="eastAsia" w:ascii="楷体" w:hAnsi="楷体" w:eastAsia="楷体" w:cs="楷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方案评价表</w:t>
      </w:r>
    </w:p>
    <w:p w14:paraId="0A2FDE6D">
      <w:pPr>
        <w:jc w:val="center"/>
        <w:rPr>
          <w:rFonts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（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val="en-US" w:eastAsia="zh-CN"/>
        </w:rPr>
        <w:t>评阅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老师填写）</w:t>
      </w: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5"/>
        <w:gridCol w:w="5345"/>
        <w:gridCol w:w="442"/>
        <w:gridCol w:w="425"/>
        <w:gridCol w:w="430"/>
        <w:gridCol w:w="438"/>
      </w:tblGrid>
      <w:tr w14:paraId="5725F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848" w:type="pct"/>
            <w:vMerge w:val="restart"/>
            <w:shd w:val="clear" w:color="auto" w:fill="auto"/>
            <w:vAlign w:val="center"/>
          </w:tcPr>
          <w:p w14:paraId="0CC74605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评价维度</w:t>
            </w:r>
          </w:p>
        </w:tc>
        <w:tc>
          <w:tcPr>
            <w:tcW w:w="3135" w:type="pct"/>
            <w:vMerge w:val="restart"/>
            <w:shd w:val="clear" w:color="auto" w:fill="auto"/>
            <w:vAlign w:val="center"/>
          </w:tcPr>
          <w:p w14:paraId="20136A0A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评价要点</w:t>
            </w:r>
          </w:p>
        </w:tc>
        <w:tc>
          <w:tcPr>
            <w:tcW w:w="1015" w:type="pct"/>
            <w:gridSpan w:val="4"/>
            <w:shd w:val="clear" w:color="auto" w:fill="auto"/>
            <w:vAlign w:val="center"/>
          </w:tcPr>
          <w:p w14:paraId="06EDC4E1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评价等级</w:t>
            </w:r>
          </w:p>
        </w:tc>
      </w:tr>
      <w:tr w14:paraId="7FE7B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719E152B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3135" w:type="pct"/>
            <w:vMerge w:val="continue"/>
            <w:shd w:val="clear" w:color="auto" w:fill="auto"/>
            <w:vAlign w:val="center"/>
          </w:tcPr>
          <w:p w14:paraId="7A4D766F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259" w:type="pct"/>
            <w:shd w:val="clear" w:color="auto" w:fill="auto"/>
            <w:vAlign w:val="center"/>
          </w:tcPr>
          <w:p w14:paraId="64FCE4CE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A</w:t>
            </w:r>
          </w:p>
        </w:tc>
        <w:tc>
          <w:tcPr>
            <w:tcW w:w="249" w:type="pct"/>
            <w:shd w:val="clear" w:color="auto" w:fill="auto"/>
            <w:vAlign w:val="center"/>
          </w:tcPr>
          <w:p w14:paraId="1DE8753B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B</w:t>
            </w:r>
          </w:p>
        </w:tc>
        <w:tc>
          <w:tcPr>
            <w:tcW w:w="252" w:type="pct"/>
            <w:shd w:val="clear" w:color="auto" w:fill="auto"/>
            <w:vAlign w:val="center"/>
          </w:tcPr>
          <w:p w14:paraId="4E0ED9B2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C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496AEE47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D</w:t>
            </w:r>
          </w:p>
        </w:tc>
      </w:tr>
      <w:tr w14:paraId="32EF2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restart"/>
            <w:shd w:val="clear" w:color="auto" w:fill="auto"/>
            <w:vAlign w:val="center"/>
          </w:tcPr>
          <w:p w14:paraId="5386F04F">
            <w:pPr>
              <w:spacing w:line="360" w:lineRule="auto"/>
              <w:jc w:val="center"/>
              <w:rPr>
                <w:rFonts w:hint="default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</w:rPr>
              <w:t>方案目标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  <w:t>与总体规划</w:t>
            </w:r>
          </w:p>
        </w:tc>
        <w:tc>
          <w:tcPr>
            <w:tcW w:w="3135" w:type="pct"/>
            <w:vMerge w:val="restart"/>
            <w:shd w:val="clear" w:color="auto" w:fill="auto"/>
          </w:tcPr>
          <w:p w14:paraId="697B2CE6">
            <w:pPr>
              <w:numPr>
                <w:ilvl w:val="0"/>
                <w:numId w:val="1"/>
              </w:numPr>
              <w:spacing w:line="360" w:lineRule="auto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</w:rPr>
              <w:t>目标与</w:t>
            </w:r>
            <w:r>
              <w:rPr>
                <w:rFonts w:hint="eastAsia" w:ascii="楷体" w:hAnsi="楷体" w:eastAsia="楷体" w:cs="楷体"/>
                <w:sz w:val="24"/>
              </w:rPr>
              <w:t>环境</w:t>
            </w:r>
            <w:r>
              <w:rPr>
                <w:rFonts w:hint="eastAsia" w:ascii="楷体" w:hAnsi="楷体" w:eastAsia="楷体" w:cs="楷体"/>
                <w:sz w:val="24"/>
                <w:lang w:eastAsia="zh-CN"/>
              </w:rPr>
              <w:t>、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行业及目标受众</w:t>
            </w:r>
            <w:r>
              <w:rPr>
                <w:rFonts w:hint="eastAsia" w:ascii="楷体" w:hAnsi="楷体" w:eastAsia="楷体" w:cs="楷体"/>
                <w:sz w:val="24"/>
              </w:rPr>
              <w:t>的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匹配度</w:t>
            </w:r>
          </w:p>
          <w:p w14:paraId="5F35846E">
            <w:pPr>
              <w:numPr>
                <w:ilvl w:val="0"/>
                <w:numId w:val="1"/>
              </w:numPr>
              <w:spacing w:line="360" w:lineRule="auto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</w:rPr>
              <w:t>目标表述的准确性</w:t>
            </w:r>
            <w:r>
              <w:rPr>
                <w:rFonts w:hint="eastAsia" w:ascii="楷体" w:hAnsi="楷体" w:eastAsia="楷体" w:cs="楷体"/>
                <w:color w:val="000000"/>
                <w:sz w:val="24"/>
                <w:lang w:eastAsia="zh-CN"/>
              </w:rPr>
              <w:t>、</w:t>
            </w:r>
            <w:r>
              <w:rPr>
                <w:rFonts w:hint="eastAsia" w:ascii="楷体" w:hAnsi="楷体" w:eastAsia="楷体" w:cs="楷体"/>
                <w:color w:val="000000"/>
                <w:sz w:val="24"/>
              </w:rPr>
              <w:t>可量化性</w:t>
            </w:r>
            <w:r>
              <w:rPr>
                <w:rFonts w:hint="eastAsia" w:ascii="楷体" w:hAnsi="楷体" w:eastAsia="楷体" w:cs="楷体"/>
                <w:color w:val="000000"/>
                <w:sz w:val="24"/>
                <w:lang w:val="en-US" w:eastAsia="zh-CN"/>
              </w:rPr>
              <w:t>与可实现性</w:t>
            </w:r>
          </w:p>
          <w:p w14:paraId="6C61C250">
            <w:pPr>
              <w:numPr>
                <w:ilvl w:val="0"/>
                <w:numId w:val="1"/>
              </w:numPr>
              <w:spacing w:line="360" w:lineRule="auto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</w:rPr>
              <w:t>前期准备的完整性与逻辑性</w:t>
            </w:r>
          </w:p>
          <w:p w14:paraId="662787C1">
            <w:pPr>
              <w:numPr>
                <w:ilvl w:val="0"/>
                <w:numId w:val="1"/>
              </w:numPr>
              <w:spacing w:line="360" w:lineRule="auto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lang w:val="en-US" w:eastAsia="zh-CN"/>
              </w:rPr>
              <w:t>总体</w:t>
            </w:r>
            <w:r>
              <w:rPr>
                <w:rFonts w:hint="eastAsia" w:ascii="楷体" w:hAnsi="楷体" w:eastAsia="楷体" w:cs="楷体"/>
                <w:color w:val="000000"/>
                <w:sz w:val="24"/>
              </w:rPr>
              <w:t>规</w:t>
            </w:r>
            <w:r>
              <w:rPr>
                <w:rFonts w:hint="eastAsia" w:ascii="楷体" w:hAnsi="楷体" w:eastAsia="楷体" w:cs="楷体"/>
                <w:color w:val="000000"/>
                <w:sz w:val="24"/>
                <w:lang w:val="en-US" w:eastAsia="zh-CN"/>
              </w:rPr>
              <w:t>划安排</w:t>
            </w:r>
            <w:r>
              <w:rPr>
                <w:rFonts w:hint="eastAsia" w:ascii="楷体" w:hAnsi="楷体" w:eastAsia="楷体" w:cs="楷体"/>
                <w:color w:val="000000"/>
                <w:sz w:val="24"/>
              </w:rPr>
              <w:t>对实践的指导价值</w:t>
            </w:r>
          </w:p>
        </w:tc>
        <w:tc>
          <w:tcPr>
            <w:tcW w:w="259" w:type="pct"/>
            <w:shd w:val="clear" w:color="auto" w:fill="auto"/>
          </w:tcPr>
          <w:p w14:paraId="10B651F6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0B1D3859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630A4309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679D8E2A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72CEA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767EF07A">
            <w:pPr>
              <w:spacing w:line="360" w:lineRule="auto"/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7A8B7346">
            <w:pPr>
              <w:spacing w:line="360" w:lineRule="auto"/>
            </w:pPr>
          </w:p>
        </w:tc>
        <w:tc>
          <w:tcPr>
            <w:tcW w:w="259" w:type="pct"/>
            <w:shd w:val="clear" w:color="auto" w:fill="auto"/>
          </w:tcPr>
          <w:p w14:paraId="0C63187E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2BD1A096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3681A7C8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33CF31DA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61A1D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78FBC62F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25507303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9" w:type="pct"/>
            <w:shd w:val="clear" w:color="auto" w:fill="auto"/>
          </w:tcPr>
          <w:p w14:paraId="739CD05D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2EAD0CB8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282211F5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364C18B3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7C756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1BF34094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167A90EA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9" w:type="pct"/>
            <w:shd w:val="clear" w:color="auto" w:fill="auto"/>
          </w:tcPr>
          <w:p w14:paraId="4AD9468A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75C3F4D0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057BB2B2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67299A8D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6B4C3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48" w:type="pct"/>
            <w:vMerge w:val="restart"/>
            <w:shd w:val="clear" w:color="auto" w:fill="auto"/>
            <w:vAlign w:val="center"/>
          </w:tcPr>
          <w:p w14:paraId="738DC78B">
            <w:pPr>
              <w:spacing w:line="360" w:lineRule="auto"/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实施过程与资源整合</w:t>
            </w:r>
          </w:p>
        </w:tc>
        <w:tc>
          <w:tcPr>
            <w:tcW w:w="3135" w:type="pct"/>
            <w:vMerge w:val="restart"/>
            <w:shd w:val="clear" w:color="auto" w:fill="auto"/>
          </w:tcPr>
          <w:p w14:paraId="39A92553">
            <w:pPr>
              <w:numPr>
                <w:ilvl w:val="0"/>
                <w:numId w:val="2"/>
              </w:numPr>
              <w:spacing w:line="360" w:lineRule="auto"/>
              <w:rPr>
                <w:rFonts w:hint="eastAsia"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</w:rPr>
              <w:t>实施过程与目标表述的一致性</w:t>
            </w:r>
          </w:p>
          <w:p w14:paraId="2BA5720F">
            <w:pPr>
              <w:numPr>
                <w:ilvl w:val="0"/>
                <w:numId w:val="2"/>
              </w:numPr>
              <w:spacing w:line="360" w:lineRule="auto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执行步骤的连贯性与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规范</w:t>
            </w:r>
            <w:r>
              <w:rPr>
                <w:rFonts w:hint="eastAsia" w:ascii="楷体" w:hAnsi="楷体" w:eastAsia="楷体" w:cs="楷体"/>
                <w:sz w:val="24"/>
              </w:rPr>
              <w:t>性</w:t>
            </w:r>
          </w:p>
          <w:p w14:paraId="7FA9CF0F">
            <w:pPr>
              <w:numPr>
                <w:ilvl w:val="0"/>
                <w:numId w:val="2"/>
              </w:numPr>
              <w:spacing w:line="360" w:lineRule="auto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平台、工具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选择和应用</w:t>
            </w:r>
            <w:r>
              <w:rPr>
                <w:rFonts w:hint="eastAsia" w:ascii="楷体" w:hAnsi="楷体" w:eastAsia="楷体" w:cs="楷体"/>
                <w:sz w:val="24"/>
              </w:rPr>
              <w:t>的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适配性</w:t>
            </w:r>
          </w:p>
          <w:p w14:paraId="6A513B62">
            <w:pPr>
              <w:numPr>
                <w:ilvl w:val="0"/>
                <w:numId w:val="2"/>
              </w:numPr>
              <w:spacing w:line="360" w:lineRule="auto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团队协作与资源调配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的</w:t>
            </w:r>
            <w:r>
              <w:rPr>
                <w:rFonts w:hint="eastAsia" w:ascii="楷体" w:hAnsi="楷体" w:eastAsia="楷体" w:cs="楷体"/>
                <w:sz w:val="24"/>
              </w:rPr>
              <w:t>有效性</w:t>
            </w:r>
          </w:p>
        </w:tc>
        <w:tc>
          <w:tcPr>
            <w:tcW w:w="259" w:type="pct"/>
            <w:shd w:val="clear" w:color="auto" w:fill="auto"/>
          </w:tcPr>
          <w:p w14:paraId="2EB3FFC7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37D2D694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7D0DD03C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6F198508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3CE5C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32CFD4D1">
            <w:pPr>
              <w:spacing w:line="360" w:lineRule="auto"/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312E5C4A">
            <w:pPr>
              <w:spacing w:line="360" w:lineRule="auto"/>
            </w:pPr>
          </w:p>
        </w:tc>
        <w:tc>
          <w:tcPr>
            <w:tcW w:w="259" w:type="pct"/>
            <w:shd w:val="clear" w:color="auto" w:fill="auto"/>
          </w:tcPr>
          <w:p w14:paraId="3EC4AB58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30F6B21F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61947CB2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3CC4279C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373CB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0BCDC3E3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7B17E3F1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9" w:type="pct"/>
            <w:shd w:val="clear" w:color="auto" w:fill="auto"/>
          </w:tcPr>
          <w:p w14:paraId="706635C4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649284F5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2C660ABA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241406C2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0D745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47F5603E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56CF5EA3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9" w:type="pct"/>
            <w:shd w:val="clear" w:color="auto" w:fill="auto"/>
          </w:tcPr>
          <w:p w14:paraId="003B7E79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206F919C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18648D7A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72540F2A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28BCB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restart"/>
            <w:shd w:val="clear" w:color="auto" w:fill="auto"/>
            <w:vAlign w:val="center"/>
          </w:tcPr>
          <w:p w14:paraId="67408B8F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效果分析与优化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建议</w:t>
            </w:r>
          </w:p>
        </w:tc>
        <w:tc>
          <w:tcPr>
            <w:tcW w:w="3135" w:type="pct"/>
            <w:vMerge w:val="restart"/>
            <w:shd w:val="clear" w:color="auto" w:fill="auto"/>
          </w:tcPr>
          <w:p w14:paraId="26F0D73B">
            <w:pPr>
              <w:numPr>
                <w:ilvl w:val="0"/>
                <w:numId w:val="3"/>
              </w:num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数据采集的完整性与真实性</w:t>
            </w:r>
          </w:p>
          <w:p w14:paraId="024663FE">
            <w:pPr>
              <w:numPr>
                <w:ilvl w:val="0"/>
                <w:numId w:val="3"/>
              </w:numPr>
              <w:spacing w:line="360" w:lineRule="auto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效果评估的科学性（如对比分析、归因分析</w:t>
            </w:r>
            <w:r>
              <w:rPr>
                <w:rFonts w:hint="eastAsia" w:ascii="楷体" w:hAnsi="楷体" w:eastAsia="楷体" w:cs="楷体"/>
                <w:sz w:val="24"/>
                <w:lang w:eastAsia="zh-CN"/>
              </w:rPr>
              <w:t>）</w:t>
            </w:r>
          </w:p>
          <w:p w14:paraId="43CE3309">
            <w:pPr>
              <w:numPr>
                <w:ilvl w:val="0"/>
                <w:numId w:val="3"/>
              </w:numPr>
              <w:spacing w:line="360" w:lineRule="auto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优化建议的针对性与可操作性</w:t>
            </w:r>
          </w:p>
          <w:p w14:paraId="2F4756A9">
            <w:pPr>
              <w:numPr>
                <w:ilvl w:val="0"/>
                <w:numId w:val="3"/>
              </w:numPr>
              <w:spacing w:line="360" w:lineRule="auto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对行业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发展态势</w:t>
            </w:r>
            <w:r>
              <w:rPr>
                <w:rFonts w:hint="eastAsia" w:ascii="楷体" w:hAnsi="楷体" w:eastAsia="楷体" w:cs="楷体"/>
                <w:sz w:val="24"/>
              </w:rPr>
              <w:t>的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归纳与前瞻分析</w:t>
            </w:r>
            <w:r>
              <w:rPr>
                <w:rFonts w:hint="eastAsia" w:ascii="楷体" w:hAnsi="楷体" w:eastAsia="楷体" w:cs="楷体"/>
                <w:sz w:val="24"/>
              </w:rPr>
              <w:t>能力</w:t>
            </w:r>
          </w:p>
        </w:tc>
        <w:tc>
          <w:tcPr>
            <w:tcW w:w="259" w:type="pct"/>
            <w:shd w:val="clear" w:color="auto" w:fill="auto"/>
          </w:tcPr>
          <w:p w14:paraId="5F01360B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198F88F5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101D605B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5DF4521F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4F57F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7B9CEE72">
            <w:pPr>
              <w:spacing w:line="360" w:lineRule="auto"/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24E28E81">
            <w:pPr>
              <w:spacing w:line="360" w:lineRule="auto"/>
            </w:pPr>
          </w:p>
        </w:tc>
        <w:tc>
          <w:tcPr>
            <w:tcW w:w="259" w:type="pct"/>
            <w:shd w:val="clear" w:color="auto" w:fill="auto"/>
          </w:tcPr>
          <w:p w14:paraId="66525A0F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31256522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22C816B3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093E9100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0E84E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40C816D4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4EC61E48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9" w:type="pct"/>
            <w:shd w:val="clear" w:color="auto" w:fill="auto"/>
          </w:tcPr>
          <w:p w14:paraId="1C1B97D9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1FC449DB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28B0530B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14065752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34E4E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21158060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598B9DA8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9" w:type="pct"/>
            <w:shd w:val="clear" w:color="auto" w:fill="auto"/>
          </w:tcPr>
          <w:p w14:paraId="1485F651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782F5442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0DB4B61A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367A2E28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11E6E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restart"/>
            <w:shd w:val="clear" w:color="auto" w:fill="auto"/>
            <w:vAlign w:val="center"/>
          </w:tcPr>
          <w:p w14:paraId="408C6024">
            <w:pPr>
              <w:spacing w:line="360" w:lineRule="auto"/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写作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规范性与逻辑性</w:t>
            </w:r>
          </w:p>
        </w:tc>
        <w:tc>
          <w:tcPr>
            <w:tcW w:w="3135" w:type="pct"/>
            <w:vMerge w:val="restart"/>
            <w:shd w:val="clear" w:color="auto" w:fill="auto"/>
          </w:tcPr>
          <w:p w14:paraId="1D92C684">
            <w:pPr>
              <w:numPr>
                <w:ilvl w:val="0"/>
                <w:numId w:val="4"/>
              </w:num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结构完整性与模块衔接性</w:t>
            </w:r>
          </w:p>
          <w:p w14:paraId="5458E2C7">
            <w:pPr>
              <w:numPr>
                <w:ilvl w:val="0"/>
                <w:numId w:val="4"/>
              </w:num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语言表达的专业性与准确性</w:t>
            </w:r>
          </w:p>
          <w:p w14:paraId="582BFF51">
            <w:pPr>
              <w:numPr>
                <w:ilvl w:val="0"/>
                <w:numId w:val="4"/>
              </w:numPr>
              <w:spacing w:line="360" w:lineRule="auto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图表、数据呈现的清晰度</w:t>
            </w:r>
          </w:p>
          <w:p w14:paraId="5CDD0FD4">
            <w:pPr>
              <w:numPr>
                <w:ilvl w:val="0"/>
                <w:numId w:val="4"/>
              </w:numPr>
              <w:spacing w:line="360" w:lineRule="auto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整体逻辑的严谨性</w:t>
            </w:r>
          </w:p>
        </w:tc>
        <w:tc>
          <w:tcPr>
            <w:tcW w:w="259" w:type="pct"/>
            <w:shd w:val="clear" w:color="auto" w:fill="auto"/>
          </w:tcPr>
          <w:p w14:paraId="1D91C95B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35F7CD2A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418281A6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5A830355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286D8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571B5383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1D265FE1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59" w:type="pct"/>
            <w:shd w:val="clear" w:color="auto" w:fill="auto"/>
          </w:tcPr>
          <w:p w14:paraId="472E84DF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6A08AE6D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34BB0DB0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09897EBD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23115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1ADDF725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4B7422DC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59" w:type="pct"/>
            <w:shd w:val="clear" w:color="auto" w:fill="auto"/>
          </w:tcPr>
          <w:p w14:paraId="46D8E2B6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333AA92C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3D133AA3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08C5C082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1CF9A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48" w:type="pct"/>
            <w:vMerge w:val="continue"/>
            <w:shd w:val="clear" w:color="auto" w:fill="auto"/>
            <w:vAlign w:val="center"/>
          </w:tcPr>
          <w:p w14:paraId="65280BBC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3135" w:type="pct"/>
            <w:vMerge w:val="continue"/>
            <w:shd w:val="clear" w:color="auto" w:fill="auto"/>
          </w:tcPr>
          <w:p w14:paraId="7D34692B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259" w:type="pct"/>
            <w:shd w:val="clear" w:color="auto" w:fill="auto"/>
          </w:tcPr>
          <w:p w14:paraId="74BC5CEA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49" w:type="pct"/>
            <w:shd w:val="clear" w:color="auto" w:fill="auto"/>
          </w:tcPr>
          <w:p w14:paraId="27FEA0CD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2" w:type="pct"/>
            <w:shd w:val="clear" w:color="auto" w:fill="auto"/>
          </w:tcPr>
          <w:p w14:paraId="19E6C95C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08AED65A">
            <w:pPr>
              <w:spacing w:line="360" w:lineRule="auto"/>
              <w:rPr>
                <w:rFonts w:ascii="楷体" w:hAnsi="楷体" w:eastAsia="楷体" w:cs="楷体"/>
                <w:sz w:val="24"/>
              </w:rPr>
            </w:pPr>
          </w:p>
        </w:tc>
      </w:tr>
      <w:tr w14:paraId="45B92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15D729E9">
            <w:pPr>
              <w:spacing w:line="360" w:lineRule="auto"/>
              <w:jc w:val="right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 xml:space="preserve">整体评价（百分制）： </w:t>
            </w:r>
            <w:r>
              <w:rPr>
                <w:rFonts w:ascii="楷体" w:hAnsi="楷体" w:eastAsia="楷体" w:cs="楷体"/>
                <w:b/>
                <w:bCs/>
                <w:sz w:val="24"/>
              </w:rPr>
              <w:t xml:space="preserve"> </w:t>
            </w:r>
            <w:r>
              <w:rPr>
                <w:rFonts w:ascii="楷体" w:hAnsi="楷体" w:eastAsia="楷体" w:cs="楷体"/>
                <w:b/>
                <w:bCs/>
                <w:sz w:val="24"/>
                <w:u w:val="single"/>
              </w:rPr>
              <w:t xml:space="preserve">        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分</w:t>
            </w:r>
          </w:p>
        </w:tc>
      </w:tr>
      <w:tr w14:paraId="45780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425AD613">
            <w:pPr>
              <w:spacing w:line="360" w:lineRule="auto"/>
              <w:jc w:val="left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评阅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老师签名：</w:t>
            </w:r>
          </w:p>
          <w:p w14:paraId="6C6FB7A7">
            <w:pPr>
              <w:spacing w:line="360" w:lineRule="auto"/>
              <w:jc w:val="right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年    月   日</w:t>
            </w:r>
          </w:p>
        </w:tc>
      </w:tr>
    </w:tbl>
    <w:p w14:paraId="253E53E3">
      <w:pPr>
        <w:spacing w:line="360" w:lineRule="auto"/>
        <w:rPr>
          <w:rFonts w:ascii="楷体" w:hAnsi="楷体" w:eastAsia="楷体" w:cs="楷体"/>
          <w:b/>
          <w:bCs/>
          <w:sz w:val="24"/>
        </w:rPr>
      </w:pPr>
      <w:r>
        <w:rPr>
          <w:rFonts w:hint="eastAsia" w:ascii="楷体" w:hAnsi="楷体" w:eastAsia="楷体" w:cs="楷体"/>
          <w:b/>
          <w:bCs/>
          <w:sz w:val="24"/>
        </w:rPr>
        <w:t>评价标准说明：</w:t>
      </w:r>
    </w:p>
    <w:p w14:paraId="0A3A9B36">
      <w:pPr>
        <w:spacing w:line="360" w:lineRule="auto"/>
        <w:ind w:firstLine="480" w:firstLineChars="200"/>
        <w:rPr>
          <w:rFonts w:hint="eastAsia" w:ascii="楷体" w:hAnsi="楷体" w:eastAsia="楷体" w:cs="楷体"/>
          <w:color w:val="FF0000"/>
          <w:sz w:val="24"/>
        </w:rPr>
      </w:pPr>
      <w:r>
        <w:rPr>
          <w:rFonts w:hint="eastAsia" w:ascii="楷体" w:hAnsi="楷体" w:eastAsia="楷体" w:cs="楷体"/>
          <w:sz w:val="24"/>
        </w:rPr>
        <w:t>A级</w:t>
      </w:r>
      <w:r>
        <w:rPr>
          <w:rFonts w:hint="eastAsia" w:ascii="楷体" w:hAnsi="楷体" w:eastAsia="楷体" w:cs="楷体"/>
          <w:sz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lang w:val="en-US" w:eastAsia="zh-CN"/>
        </w:rPr>
        <w:t>90-100分</w:t>
      </w:r>
      <w:r>
        <w:rPr>
          <w:rFonts w:hint="eastAsia" w:ascii="楷体" w:hAnsi="楷体" w:eastAsia="楷体" w:cs="楷体"/>
          <w:sz w:val="24"/>
          <w:lang w:eastAsia="zh-CN"/>
        </w:rPr>
        <w:t>）</w:t>
      </w:r>
      <w:r>
        <w:rPr>
          <w:rFonts w:hint="eastAsia" w:ascii="楷体" w:hAnsi="楷体" w:eastAsia="楷体" w:cs="楷体"/>
          <w:sz w:val="24"/>
        </w:rPr>
        <w:t>完全实现；B级</w:t>
      </w:r>
      <w:r>
        <w:rPr>
          <w:rFonts w:hint="eastAsia" w:ascii="楷体" w:hAnsi="楷体" w:eastAsia="楷体" w:cs="楷体"/>
          <w:sz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lang w:val="en-US" w:eastAsia="zh-CN"/>
        </w:rPr>
        <w:t>80-89分</w:t>
      </w:r>
      <w:r>
        <w:rPr>
          <w:rFonts w:hint="eastAsia" w:ascii="楷体" w:hAnsi="楷体" w:eastAsia="楷体" w:cs="楷体"/>
          <w:sz w:val="24"/>
          <w:lang w:eastAsia="zh-CN"/>
        </w:rPr>
        <w:t>）</w:t>
      </w:r>
      <w:r>
        <w:rPr>
          <w:rFonts w:hint="eastAsia" w:ascii="楷体" w:hAnsi="楷体" w:eastAsia="楷体" w:cs="楷体"/>
          <w:sz w:val="24"/>
        </w:rPr>
        <w:t>基本实现；C级</w:t>
      </w:r>
      <w:r>
        <w:rPr>
          <w:rFonts w:hint="eastAsia" w:ascii="楷体" w:hAnsi="楷体" w:eastAsia="楷体" w:cs="楷体"/>
          <w:sz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lang w:val="en-US" w:eastAsia="zh-CN"/>
        </w:rPr>
        <w:t>60-79分</w:t>
      </w:r>
      <w:r>
        <w:rPr>
          <w:rFonts w:hint="eastAsia" w:ascii="楷体" w:hAnsi="楷体" w:eastAsia="楷体" w:cs="楷体"/>
          <w:sz w:val="24"/>
          <w:lang w:eastAsia="zh-CN"/>
        </w:rPr>
        <w:t>）</w:t>
      </w:r>
      <w:r>
        <w:rPr>
          <w:rFonts w:hint="eastAsia" w:ascii="楷体" w:hAnsi="楷体" w:eastAsia="楷体" w:cs="楷体"/>
          <w:sz w:val="24"/>
          <w:lang w:val="en-US" w:eastAsia="zh-CN"/>
        </w:rPr>
        <w:t>部分</w:t>
      </w:r>
      <w:r>
        <w:rPr>
          <w:rFonts w:hint="eastAsia" w:ascii="楷体" w:hAnsi="楷体" w:eastAsia="楷体" w:cs="楷体"/>
          <w:sz w:val="24"/>
        </w:rPr>
        <w:t>实现；D级</w:t>
      </w:r>
      <w:r>
        <w:rPr>
          <w:rFonts w:hint="eastAsia" w:ascii="楷体" w:hAnsi="楷体" w:eastAsia="楷体" w:cs="楷体"/>
          <w:sz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lang w:val="en-US" w:eastAsia="zh-CN"/>
        </w:rPr>
        <w:t>60分以下</w:t>
      </w:r>
      <w:r>
        <w:rPr>
          <w:rFonts w:hint="eastAsia" w:ascii="楷体" w:hAnsi="楷体" w:eastAsia="楷体" w:cs="楷体"/>
          <w:sz w:val="24"/>
          <w:lang w:eastAsia="zh-CN"/>
        </w:rPr>
        <w:t>）</w:t>
      </w:r>
      <w:r>
        <w:rPr>
          <w:rFonts w:hint="eastAsia" w:ascii="楷体" w:hAnsi="楷体" w:eastAsia="楷体" w:cs="楷体"/>
          <w:sz w:val="24"/>
        </w:rPr>
        <w:t>完</w:t>
      </w:r>
      <w:bookmarkStart w:id="0" w:name="_GoBack"/>
      <w:bookmarkEnd w:id="0"/>
      <w:r>
        <w:rPr>
          <w:rFonts w:hint="eastAsia" w:ascii="楷体" w:hAnsi="楷体" w:eastAsia="楷体" w:cs="楷体"/>
          <w:sz w:val="24"/>
        </w:rPr>
        <w:t>全未实现。</w:t>
      </w:r>
    </w:p>
    <w:sectPr>
      <w:footerReference r:id="rId4" w:type="default"/>
      <w:pgSz w:w="11906" w:h="16838"/>
      <w:pgMar w:top="1191" w:right="1797" w:bottom="873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E4B87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2AB6D8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C2AB6D8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4B3D1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798DB0"/>
    <w:multiLevelType w:val="singleLevel"/>
    <w:tmpl w:val="A9798DB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DDB32113"/>
    <w:multiLevelType w:val="singleLevel"/>
    <w:tmpl w:val="DDB32113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F63B04C8"/>
    <w:multiLevelType w:val="singleLevel"/>
    <w:tmpl w:val="F63B04C8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3C568F25"/>
    <w:multiLevelType w:val="singleLevel"/>
    <w:tmpl w:val="3C568F2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kMmUxNmExY2Y0NzIxMzM1ZWQxNDNjMTI5Njk0MzcifQ=="/>
  </w:docVars>
  <w:rsids>
    <w:rsidRoot w:val="718E157A"/>
    <w:rsid w:val="00073B6E"/>
    <w:rsid w:val="00466498"/>
    <w:rsid w:val="00643012"/>
    <w:rsid w:val="00842B2D"/>
    <w:rsid w:val="00A4505F"/>
    <w:rsid w:val="00BE58F4"/>
    <w:rsid w:val="025363E0"/>
    <w:rsid w:val="157079BA"/>
    <w:rsid w:val="16445334"/>
    <w:rsid w:val="18D253CD"/>
    <w:rsid w:val="19620AEB"/>
    <w:rsid w:val="1A600015"/>
    <w:rsid w:val="1FB931AC"/>
    <w:rsid w:val="214F55A6"/>
    <w:rsid w:val="2222580B"/>
    <w:rsid w:val="262B471E"/>
    <w:rsid w:val="2AAC4620"/>
    <w:rsid w:val="2C0003B4"/>
    <w:rsid w:val="407F3B46"/>
    <w:rsid w:val="41177258"/>
    <w:rsid w:val="42C50218"/>
    <w:rsid w:val="445C6678"/>
    <w:rsid w:val="46A15423"/>
    <w:rsid w:val="4B600690"/>
    <w:rsid w:val="4E1C5AD4"/>
    <w:rsid w:val="50756C3E"/>
    <w:rsid w:val="5A9A1850"/>
    <w:rsid w:val="5CCB7A9F"/>
    <w:rsid w:val="5CEC1853"/>
    <w:rsid w:val="68334C9D"/>
    <w:rsid w:val="6A3D5D54"/>
    <w:rsid w:val="6D5A1276"/>
    <w:rsid w:val="6ED15D17"/>
    <w:rsid w:val="70214946"/>
    <w:rsid w:val="718E157A"/>
    <w:rsid w:val="719176A9"/>
    <w:rsid w:val="74890DF4"/>
    <w:rsid w:val="77C42912"/>
    <w:rsid w:val="7A5A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1283</Words>
  <Characters>1382</Characters>
  <Lines>6</Lines>
  <Paragraphs>1</Paragraphs>
  <TotalTime>6</TotalTime>
  <ScaleCrop>false</ScaleCrop>
  <LinksUpToDate>false</LinksUpToDate>
  <CharactersWithSpaces>1406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2020-06-18T06:39:00Z</dcterms:created>
  <dc:creator>Ginger</dc:creator>
  <cp:lastModifiedBy>Shine</cp:lastModifiedBy>
  <dcterms:modified xsi:type="dcterms:W3CDTF">2026-06-02T01:02:07Z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094E9725FC1F4E4BADC06B8DFFCEE61D_13</vt:lpwstr>
  </property>
  <property fmtid="{D5CDD505-2E9C-101B-9397-08002B2CF9AE}" pid="4" name="KSOTemplateDocerSaveRecord">
    <vt:lpwstr>eyJoZGlkIjoiOTNkMmUxNmExY2Y0NzIxMzM1ZWQxNDNjMTI5Njk0MzciLCJ1c2VySWQiOiIxNDUxNDY1MjM2In0=</vt:lpwstr>
  </property>
</Properties>
</file>