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101E0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1E2A64DC">
      <w:pPr>
        <w:jc w:val="center"/>
        <w:rPr>
          <w:rFonts w:hint="default" w:ascii="楷体" w:hAnsi="楷体" w:eastAsia="楷体" w:cs="楷体"/>
          <w:b/>
          <w:bCs/>
          <w:w w:val="90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>人力资源管理专业</w:t>
      </w:r>
    </w:p>
    <w:p w14:paraId="71606032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人力资源管理初级实验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(实践)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14105</w:t>
      </w:r>
    </w:p>
    <w:p w14:paraId="37382619">
      <w:pPr>
        <w:spacing w:line="360" w:lineRule="auto"/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案例分析报告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（考生填写）</w:t>
      </w:r>
    </w:p>
    <w:p w14:paraId="6283B7F8">
      <w:pPr>
        <w:jc w:val="center"/>
        <w:rPr>
          <w:rFonts w:ascii="楷体" w:hAnsi="楷体" w:eastAsia="楷体" w:cs="楷体"/>
          <w:b/>
          <w:bCs/>
          <w:sz w:val="28"/>
          <w:szCs w:val="28"/>
        </w:rPr>
      </w:pPr>
    </w:p>
    <w:tbl>
      <w:tblPr>
        <w:tblStyle w:val="4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313"/>
        <w:gridCol w:w="1015"/>
        <w:gridCol w:w="1592"/>
        <w:gridCol w:w="1395"/>
        <w:gridCol w:w="2160"/>
      </w:tblGrid>
      <w:tr w14:paraId="5CF4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75" w:type="dxa"/>
            <w:shd w:val="clear" w:color="auto" w:fill="auto"/>
          </w:tcPr>
          <w:p w14:paraId="52AC4BD6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313" w:type="dxa"/>
            <w:shd w:val="clear" w:color="auto" w:fill="auto"/>
          </w:tcPr>
          <w:p w14:paraId="6BDDF51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015" w:type="dxa"/>
            <w:shd w:val="clear" w:color="auto" w:fill="auto"/>
          </w:tcPr>
          <w:p w14:paraId="34B2AB1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592" w:type="dxa"/>
            <w:shd w:val="clear" w:color="auto" w:fill="auto"/>
          </w:tcPr>
          <w:p w14:paraId="07BE328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00960A6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2C58CE95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63123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75" w:type="dxa"/>
            <w:shd w:val="clear" w:color="auto" w:fill="auto"/>
            <w:vAlign w:val="center"/>
          </w:tcPr>
          <w:p w14:paraId="7E81724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案例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名称</w:t>
            </w:r>
          </w:p>
        </w:tc>
        <w:tc>
          <w:tcPr>
            <w:tcW w:w="7475" w:type="dxa"/>
            <w:gridSpan w:val="5"/>
            <w:shd w:val="clear" w:color="auto" w:fill="auto"/>
            <w:vAlign w:val="center"/>
          </w:tcPr>
          <w:p w14:paraId="22F0FC67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348D3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75" w:type="dxa"/>
            <w:shd w:val="clear" w:color="auto" w:fill="auto"/>
            <w:vAlign w:val="center"/>
          </w:tcPr>
          <w:p w14:paraId="32A56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案例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涉及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的人力资源管理相关模块知识</w:t>
            </w:r>
          </w:p>
        </w:tc>
        <w:tc>
          <w:tcPr>
            <w:tcW w:w="7475" w:type="dxa"/>
            <w:gridSpan w:val="5"/>
            <w:shd w:val="clear" w:color="auto" w:fill="auto"/>
            <w:vAlign w:val="center"/>
          </w:tcPr>
          <w:p w14:paraId="648F72D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</w:pPr>
          </w:p>
        </w:tc>
      </w:tr>
    </w:tbl>
    <w:p w14:paraId="34951D3C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B76CB29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1.案例简介</w:t>
      </w:r>
      <w:r>
        <w:rPr>
          <w:rFonts w:hint="eastAsia" w:ascii="宋体" w:hAnsi="宋体" w:eastAsia="宋体" w:cs="宋体"/>
          <w:sz w:val="24"/>
          <w:szCs w:val="24"/>
        </w:rPr>
        <w:t>（请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对案例进行简要描述，</w:t>
      </w:r>
      <w:r>
        <w:rPr>
          <w:rFonts w:hint="eastAsia" w:ascii="宋体" w:hAnsi="宋体" w:eastAsia="宋体" w:cs="宋体"/>
          <w:sz w:val="24"/>
          <w:szCs w:val="24"/>
        </w:rPr>
        <w:t>时间、地点、人物、事件等要素不可遗漏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字数：不少于200字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34E625C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AE019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075853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2.案例分析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（请基于所选案例，从至少两个不同的人力资源管理模块出发，分别提出一个专业问题，并针对每个问题进行简要分析。字数：不少于500字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4D692EB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6181D09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51D1CD5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3.案例启示</w:t>
      </w:r>
      <w:r>
        <w:rPr>
          <w:rFonts w:hint="eastAsia" w:ascii="宋体" w:hAnsi="宋体" w:eastAsia="宋体" w:cs="宋体"/>
          <w:sz w:val="24"/>
          <w:szCs w:val="24"/>
        </w:rPr>
        <w:t>（请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结合案例，简要阐述您对人力资源管理实践的认识。字数：不少于100字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2C0F119D">
      <w:pPr>
        <w:jc w:val="left"/>
        <w:rPr>
          <w:rFonts w:hint="eastAsia" w:ascii="宋体" w:hAnsi="宋体" w:eastAsia="宋体" w:cs="宋体"/>
          <w:sz w:val="24"/>
          <w:szCs w:val="24"/>
        </w:rPr>
      </w:pPr>
    </w:p>
    <w:p w14:paraId="7473620A">
      <w:pPr>
        <w:jc w:val="left"/>
        <w:rPr>
          <w:rFonts w:ascii="楷体" w:hAnsi="楷体" w:eastAsia="楷体" w:cs="楷体"/>
          <w:sz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准考证号-考生姓名-案例分析报告”（例如：“010220240011-张三-案例分析报告”）。</w:t>
      </w:r>
    </w:p>
    <w:p w14:paraId="5A2AFF25">
      <w:pPr>
        <w:ind w:left="0" w:leftChars="0" w:firstLine="422" w:firstLineChars="17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5CC3E727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</w:p>
    <w:p w14:paraId="7EFE5A8A">
      <w:pPr>
        <w:jc w:val="left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人力资源管理初级实验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(实践)   课程编号：14105</w:t>
      </w:r>
    </w:p>
    <w:p w14:paraId="0CA51FAB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案例分析报告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评价表</w:t>
      </w:r>
    </w:p>
    <w:p w14:paraId="395A1D4F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p w14:paraId="5CC0E323">
      <w:pPr>
        <w:rPr>
          <w:rFonts w:ascii="楷体" w:hAnsi="楷体" w:eastAsia="楷体" w:cs="楷体"/>
          <w:b/>
          <w:bCs/>
          <w:sz w:val="44"/>
          <w:szCs w:val="44"/>
        </w:rPr>
      </w:pP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5000"/>
        <w:gridCol w:w="442"/>
        <w:gridCol w:w="425"/>
        <w:gridCol w:w="430"/>
        <w:gridCol w:w="440"/>
      </w:tblGrid>
      <w:tr w14:paraId="51A4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45AD559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评价维度</w:t>
            </w:r>
          </w:p>
        </w:tc>
        <w:tc>
          <w:tcPr>
            <w:tcW w:w="2933" w:type="pct"/>
            <w:vMerge w:val="restart"/>
            <w:shd w:val="clear" w:color="auto" w:fill="auto"/>
            <w:vAlign w:val="center"/>
          </w:tcPr>
          <w:p w14:paraId="00E38492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评价要点</w:t>
            </w:r>
          </w:p>
        </w:tc>
        <w:tc>
          <w:tcPr>
            <w:tcW w:w="1017" w:type="pct"/>
            <w:gridSpan w:val="4"/>
            <w:shd w:val="clear" w:color="auto" w:fill="auto"/>
            <w:vAlign w:val="center"/>
          </w:tcPr>
          <w:p w14:paraId="00E995E3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评价等级</w:t>
            </w:r>
          </w:p>
        </w:tc>
      </w:tr>
      <w:tr w14:paraId="6A98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4FFC7C98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2933" w:type="pct"/>
            <w:vMerge w:val="continue"/>
            <w:shd w:val="clear" w:color="auto" w:fill="auto"/>
            <w:vAlign w:val="center"/>
          </w:tcPr>
          <w:p w14:paraId="20C64348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6EE397D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A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DB16B24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B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C79A4D8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C</w:t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5B82F282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D</w:t>
            </w:r>
          </w:p>
        </w:tc>
      </w:tr>
      <w:tr w14:paraId="4E5A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7A23DF97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价值理念</w:t>
            </w:r>
          </w:p>
        </w:tc>
        <w:tc>
          <w:tcPr>
            <w:tcW w:w="2933" w:type="pct"/>
            <w:vMerge w:val="restart"/>
            <w:shd w:val="clear" w:color="auto" w:fill="auto"/>
          </w:tcPr>
          <w:p w14:paraId="73ADED17">
            <w:pPr>
              <w:numPr>
                <w:ilvl w:val="0"/>
                <w:numId w:val="1"/>
              </w:numPr>
              <w:spacing w:line="360" w:lineRule="auto"/>
              <w:rPr>
                <w:rFonts w:hint="default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符合社会主义核心价值观</w:t>
            </w:r>
          </w:p>
          <w:p w14:paraId="74C93934">
            <w:pPr>
              <w:numPr>
                <w:ilvl w:val="0"/>
                <w:numId w:val="0"/>
              </w:numPr>
              <w:spacing w:line="360" w:lineRule="auto"/>
              <w:rPr>
                <w:rFonts w:hint="default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2.体现职业道德与社会责任</w:t>
            </w:r>
          </w:p>
        </w:tc>
        <w:tc>
          <w:tcPr>
            <w:tcW w:w="259" w:type="pct"/>
            <w:shd w:val="clear" w:color="auto" w:fill="auto"/>
          </w:tcPr>
          <w:p w14:paraId="6259923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5F7D141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55F2D7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5699620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DE9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39060838">
            <w:pPr>
              <w:spacing w:line="360" w:lineRule="auto"/>
            </w:pPr>
          </w:p>
        </w:tc>
        <w:tc>
          <w:tcPr>
            <w:tcW w:w="2933" w:type="pct"/>
            <w:vMerge w:val="continue"/>
            <w:shd w:val="clear" w:color="auto" w:fill="auto"/>
          </w:tcPr>
          <w:p w14:paraId="62C8D5C9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7462392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0CFAC51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4FB17EE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3AF0AF5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74E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4A278E01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专业水平</w:t>
            </w:r>
          </w:p>
        </w:tc>
        <w:tc>
          <w:tcPr>
            <w:tcW w:w="2933" w:type="pct"/>
            <w:vMerge w:val="restart"/>
            <w:shd w:val="clear" w:color="auto" w:fill="auto"/>
          </w:tcPr>
          <w:p w14:paraId="5EF13402">
            <w:pPr>
              <w:numPr>
                <w:ilvl w:val="0"/>
                <w:numId w:val="2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专业理论基础掌握的准确性</w:t>
            </w:r>
          </w:p>
          <w:p w14:paraId="49E151D2">
            <w:pPr>
              <w:numPr>
                <w:ilvl w:val="0"/>
                <w:numId w:val="2"/>
              </w:numPr>
              <w:spacing w:line="360" w:lineRule="auto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专业术语使用的规范性</w:t>
            </w:r>
          </w:p>
          <w:p w14:paraId="7ADF07AD">
            <w:pPr>
              <w:numPr>
                <w:ilvl w:val="0"/>
                <w:numId w:val="2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理论与案例结合的紧密性</w:t>
            </w:r>
          </w:p>
        </w:tc>
        <w:tc>
          <w:tcPr>
            <w:tcW w:w="259" w:type="pct"/>
            <w:shd w:val="clear" w:color="auto" w:fill="auto"/>
          </w:tcPr>
          <w:p w14:paraId="5EC236B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02441CF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52C725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1846366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81E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7EB5903E">
            <w:pPr>
              <w:spacing w:line="360" w:lineRule="auto"/>
            </w:pPr>
          </w:p>
        </w:tc>
        <w:tc>
          <w:tcPr>
            <w:tcW w:w="2933" w:type="pct"/>
            <w:vMerge w:val="continue"/>
            <w:shd w:val="clear" w:color="auto" w:fill="auto"/>
          </w:tcPr>
          <w:p w14:paraId="419DDDAC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7F359D1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5FF8D67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5D323E8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47A0D5A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743F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61FF1AE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33" w:type="pct"/>
            <w:vMerge w:val="continue"/>
            <w:shd w:val="clear" w:color="auto" w:fill="auto"/>
          </w:tcPr>
          <w:p w14:paraId="4C836EF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13FA0DF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666FDEF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6289E6E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3837A05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66E1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36F8EE17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深度与系统性</w:t>
            </w:r>
          </w:p>
        </w:tc>
        <w:tc>
          <w:tcPr>
            <w:tcW w:w="2933" w:type="pct"/>
            <w:vMerge w:val="restart"/>
            <w:shd w:val="clear" w:color="auto" w:fill="auto"/>
          </w:tcPr>
          <w:p w14:paraId="225DF7D0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核心问题识别的准确性</w:t>
            </w:r>
          </w:p>
          <w:p w14:paraId="7D675763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分析过程的逻辑性</w:t>
            </w:r>
          </w:p>
          <w:p w14:paraId="1AECACA0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见解与对策的可行性</w:t>
            </w:r>
          </w:p>
        </w:tc>
        <w:tc>
          <w:tcPr>
            <w:tcW w:w="259" w:type="pct"/>
            <w:shd w:val="clear" w:color="auto" w:fill="auto"/>
          </w:tcPr>
          <w:p w14:paraId="5C76355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194D1D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B5312C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3DEB69F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BD7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79990D3B">
            <w:pPr>
              <w:spacing w:line="360" w:lineRule="auto"/>
            </w:pPr>
          </w:p>
        </w:tc>
        <w:tc>
          <w:tcPr>
            <w:tcW w:w="2933" w:type="pct"/>
            <w:vMerge w:val="continue"/>
            <w:shd w:val="clear" w:color="auto" w:fill="auto"/>
          </w:tcPr>
          <w:p w14:paraId="76A86DB7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664837B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599EC31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6C3FCB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0A56B04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2ECE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358968C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33" w:type="pct"/>
            <w:vMerge w:val="continue"/>
            <w:shd w:val="clear" w:color="auto" w:fill="auto"/>
          </w:tcPr>
          <w:p w14:paraId="0270D5B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BF4DB6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964805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79CC520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3736D211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5AE3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301434E4">
            <w:p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文本规范</w:t>
            </w:r>
          </w:p>
        </w:tc>
        <w:tc>
          <w:tcPr>
            <w:tcW w:w="2933" w:type="pct"/>
            <w:shd w:val="clear" w:color="auto" w:fill="auto"/>
          </w:tcPr>
          <w:p w14:paraId="19ECE4D7">
            <w:pPr>
              <w:spacing w:line="360" w:lineRule="auto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1.报告结构的完整性</w:t>
            </w:r>
          </w:p>
        </w:tc>
        <w:tc>
          <w:tcPr>
            <w:tcW w:w="259" w:type="pct"/>
            <w:shd w:val="clear" w:color="auto" w:fill="auto"/>
          </w:tcPr>
          <w:p w14:paraId="6579AAC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4B976A41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563FDE7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704668F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67D0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049" w:type="pct"/>
            <w:vMerge w:val="continue"/>
            <w:shd w:val="clear" w:color="auto" w:fill="auto"/>
            <w:vAlign w:val="center"/>
          </w:tcPr>
          <w:p w14:paraId="78A9AA2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33" w:type="pct"/>
            <w:shd w:val="clear" w:color="auto" w:fill="auto"/>
          </w:tcPr>
          <w:p w14:paraId="6328E99F">
            <w:pPr>
              <w:spacing w:line="360" w:lineRule="auto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2.语言表达通顺性</w:t>
            </w:r>
          </w:p>
        </w:tc>
        <w:tc>
          <w:tcPr>
            <w:tcW w:w="259" w:type="pct"/>
            <w:shd w:val="clear" w:color="auto" w:fill="auto"/>
          </w:tcPr>
          <w:p w14:paraId="6B1EB9C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4681E6F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452FAF7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3712D71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59AD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30F98BC7">
            <w:pPr>
              <w:spacing w:line="360" w:lineRule="auto"/>
              <w:jc w:val="left"/>
              <w:rPr>
                <w:rFonts w:ascii="楷体" w:hAnsi="楷体" w:eastAsia="楷体" w:cs="楷体"/>
                <w:color w:val="000000"/>
                <w:sz w:val="24"/>
              </w:rPr>
            </w:pPr>
          </w:p>
          <w:p w14:paraId="6A540B9B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0060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1A3FC02F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0D18DED5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日</w:t>
            </w:r>
          </w:p>
        </w:tc>
      </w:tr>
    </w:tbl>
    <w:p w14:paraId="253E53E3">
      <w:pPr>
        <w:spacing w:line="360" w:lineRule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>评价标准说明：</w:t>
      </w:r>
    </w:p>
    <w:p w14:paraId="5FE96FFC">
      <w:pPr>
        <w:spacing w:line="360" w:lineRule="auto"/>
        <w:ind w:firstLine="480" w:firstLineChars="200"/>
      </w:pPr>
      <w:r>
        <w:rPr>
          <w:rFonts w:hint="eastAsia" w:ascii="楷体" w:hAnsi="楷体" w:eastAsia="楷体" w:cs="楷体"/>
          <w:sz w:val="24"/>
        </w:rPr>
        <w:t>A级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90-100分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完全实现；B级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80-89分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基本实现；C级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60-79分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lang w:val="en-US" w:eastAsia="zh-CN"/>
        </w:rPr>
        <w:t>部分</w:t>
      </w:r>
      <w:r>
        <w:rPr>
          <w:rFonts w:hint="eastAsia" w:ascii="楷体" w:hAnsi="楷体" w:eastAsia="楷体" w:cs="楷体"/>
          <w:sz w:val="24"/>
        </w:rPr>
        <w:t>实现；D级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60分以下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完全未实现。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43E1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57A52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B57A52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FB2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03EE57"/>
    <w:multiLevelType w:val="singleLevel"/>
    <w:tmpl w:val="5703EE57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703EEC7"/>
    <w:multiLevelType w:val="singleLevel"/>
    <w:tmpl w:val="5703EEC7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5703EF56"/>
    <w:multiLevelType w:val="singleLevel"/>
    <w:tmpl w:val="5703EF5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73B6E"/>
    <w:rsid w:val="00466498"/>
    <w:rsid w:val="00643012"/>
    <w:rsid w:val="00842B2D"/>
    <w:rsid w:val="00A4505F"/>
    <w:rsid w:val="00BE58F4"/>
    <w:rsid w:val="13C16C47"/>
    <w:rsid w:val="1E265D0C"/>
    <w:rsid w:val="2AAC4620"/>
    <w:rsid w:val="41177258"/>
    <w:rsid w:val="432B5591"/>
    <w:rsid w:val="505316BF"/>
    <w:rsid w:val="5CEC1853"/>
    <w:rsid w:val="5E9115A4"/>
    <w:rsid w:val="698E7EF6"/>
    <w:rsid w:val="6C7A7493"/>
    <w:rsid w:val="6D5A1276"/>
    <w:rsid w:val="6ED15D17"/>
    <w:rsid w:val="718E157A"/>
    <w:rsid w:val="7F7B52E6"/>
    <w:rsid w:val="7F9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789</Words>
  <Characters>879</Characters>
  <Lines>6</Lines>
  <Paragraphs>1</Paragraphs>
  <TotalTime>4</TotalTime>
  <ScaleCrop>false</ScaleCrop>
  <LinksUpToDate>false</LinksUpToDate>
  <CharactersWithSpaces>903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2020-06-18T14:39:00Z</dcterms:created>
  <dc:creator>Ginger</dc:creator>
  <cp:lastModifiedBy>Shine</cp:lastModifiedBy>
  <dcterms:modified xsi:type="dcterms:W3CDTF">2026-06-02T01:09:43Z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D06603B376D24CB489E8B23B2B8A4FE3_13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