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3AFE3">
      <w:pPr>
        <w:jc w:val="left"/>
        <w:rPr>
          <w:rFonts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  <w:lang w:val="en-US" w:eastAsia="zh-CN"/>
        </w:rPr>
        <w:t>重庆工商大学</w:t>
      </w:r>
      <w:r>
        <w:rPr>
          <w:rFonts w:hint="eastAsia" w:ascii="楷体" w:hAnsi="楷体" w:eastAsia="楷体" w:cs="楷体"/>
          <w:b/>
          <w:bCs/>
          <w:w w:val="90"/>
          <w:sz w:val="24"/>
        </w:rPr>
        <w:t>高等教育自学考试</w:t>
      </w:r>
    </w:p>
    <w:p w14:paraId="669DF0DF">
      <w:pPr>
        <w:jc w:val="center"/>
        <w:rPr>
          <w:rFonts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  <w:lang w:val="en-US" w:eastAsia="zh-CN"/>
        </w:rPr>
        <w:t>金融学</w:t>
      </w: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专业</w:t>
      </w:r>
    </w:p>
    <w:p w14:paraId="175C5087">
      <w:pPr>
        <w:jc w:val="center"/>
        <w:rPr>
          <w:rFonts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证券投资理论与实务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(实践) 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 xml:space="preserve">14654     </w:t>
      </w:r>
    </w:p>
    <w:p w14:paraId="6EB59A29">
      <w:pPr>
        <w:spacing w:line="360" w:lineRule="auto"/>
        <w:jc w:val="center"/>
        <w:rPr>
          <w:rFonts w:ascii="楷体" w:hAnsi="楷体" w:eastAsia="楷体" w:cs="楷体"/>
          <w:b/>
          <w:bCs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证券投资分析报告（考生填写）</w:t>
      </w:r>
    </w:p>
    <w:tbl>
      <w:tblPr>
        <w:tblStyle w:val="2"/>
        <w:tblW w:w="8660" w:type="dxa"/>
        <w:tblInd w:w="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090"/>
        <w:gridCol w:w="960"/>
        <w:gridCol w:w="1785"/>
        <w:gridCol w:w="1395"/>
        <w:gridCol w:w="1970"/>
      </w:tblGrid>
      <w:tr w14:paraId="2F82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460" w:type="dxa"/>
            <w:shd w:val="clear" w:color="auto" w:fill="auto"/>
          </w:tcPr>
          <w:p w14:paraId="314B4D8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090" w:type="dxa"/>
            <w:shd w:val="clear" w:color="auto" w:fill="auto"/>
          </w:tcPr>
          <w:p w14:paraId="0A2B049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13786AC6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  <w:shd w:val="clear" w:color="auto" w:fill="auto"/>
          </w:tcPr>
          <w:p w14:paraId="0A499C21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  <w:shd w:val="clear" w:color="auto" w:fill="auto"/>
          </w:tcPr>
          <w:p w14:paraId="512031D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1970" w:type="dxa"/>
            <w:shd w:val="clear" w:color="auto" w:fill="auto"/>
          </w:tcPr>
          <w:p w14:paraId="2BF8A70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7C333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60" w:type="dxa"/>
            <w:shd w:val="clear" w:color="auto" w:fill="auto"/>
            <w:vAlign w:val="center"/>
          </w:tcPr>
          <w:p w14:paraId="3BE33D43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报告标题</w:t>
            </w:r>
          </w:p>
        </w:tc>
        <w:tc>
          <w:tcPr>
            <w:tcW w:w="7200" w:type="dxa"/>
            <w:gridSpan w:val="5"/>
            <w:shd w:val="clear" w:color="auto" w:fill="auto"/>
            <w:vAlign w:val="center"/>
          </w:tcPr>
          <w:p w14:paraId="21471ADD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例：</w:t>
            </w:r>
            <w:r>
              <w:rPr>
                <w:rFonts w:hint="eastAsia"/>
                <w:b/>
                <w:bCs/>
                <w:sz w:val="24"/>
                <w:szCs w:val="24"/>
              </w:rPr>
              <w:t>XX 公司证券投资分析报告</w:t>
            </w:r>
          </w:p>
        </w:tc>
      </w:tr>
      <w:tr w14:paraId="33322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60" w:type="dxa"/>
            <w:shd w:val="clear" w:color="auto" w:fill="auto"/>
            <w:vAlign w:val="center"/>
          </w:tcPr>
          <w:p w14:paraId="16D2A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技术分析的时间范围</w:t>
            </w:r>
          </w:p>
        </w:tc>
        <w:tc>
          <w:tcPr>
            <w:tcW w:w="7200" w:type="dxa"/>
            <w:gridSpan w:val="5"/>
            <w:shd w:val="clear" w:color="auto" w:fill="auto"/>
            <w:vAlign w:val="center"/>
          </w:tcPr>
          <w:p w14:paraId="59968004"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</w:p>
        </w:tc>
      </w:tr>
    </w:tbl>
    <w:p w14:paraId="5BFD1D9D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</w:p>
    <w:p w14:paraId="58489DC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32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1.</w:t>
      </w:r>
      <w:r>
        <w:rPr>
          <w:rFonts w:hint="eastAsia" w:ascii="黑体" w:hAnsi="黑体" w:eastAsia="黑体" w:cs="黑体"/>
          <w:b/>
          <w:bCs/>
          <w:sz w:val="24"/>
          <w:szCs w:val="32"/>
        </w:rPr>
        <w:t>上市公司基本情况</w:t>
      </w:r>
    </w:p>
    <w:p w14:paraId="61344076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核心要素：公司全称、证券代码、上市地点、成立时间、主营业务范围、核心产品 / 服务、行业归属（需明确细分行业）、主要控股股东及实际控制人、公司组织架构概述。</w:t>
      </w:r>
    </w:p>
    <w:p w14:paraId="36D5904D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要求：信息真实准确，数据最新（优先采用最近一期年报或中报数据），避免冗余，突出核心业务特征。</w:t>
      </w:r>
    </w:p>
    <w:p w14:paraId="0CE57BDA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2.上市公司基本分析</w:t>
      </w:r>
    </w:p>
    <w:p w14:paraId="3B3B282A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宏观经济分析：结合当前宏观经济形势（如 GDP 增速、货币政策、财政政策、通货膨胀率等），分析其对公司所在行业的影响。</w:t>
      </w:r>
    </w:p>
    <w:p w14:paraId="02FD1756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行业分析：阐述行业发展阶段（萌芽期 / 成长期 / 成熟期 / 衰退期）、市场规模及增速、行业竞争格局（集中度、主要竞争对手）、行业政策（如监管政策、扶持政策）、行业壁垒等。</w:t>
      </w:r>
    </w:p>
    <w:p w14:paraId="51A78AC7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公司层面分析：包括但不限于财务分析（近 3 年核心财务指标，如营收增长率、净利润增长率、毛利率、资产负债率、ROE 等，需结合行业均值对比分析）、核心竞争力分析（如技术优势、品牌优势、渠道优势、成本优势等）、经营战略规划、近年重大经营事件（如并购重组、产能扩张、重大合同签订等）。</w:t>
      </w:r>
    </w:p>
    <w:p w14:paraId="685566E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3.上市公司技术分析</w:t>
      </w:r>
    </w:p>
    <w:p w14:paraId="7AD4F36C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分析工具：需结合至少 2 种核心技术分析指标（如均线系统、MACD、KDJ、RSI、成交量等），同时配合 K 线形态分析（如头肩顶 / 底、双顶 / 双底、趋势线、支撑位与压力位等）。</w:t>
      </w:r>
    </w:p>
    <w:p w14:paraId="4AD81DFD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分析维度：明确分析周期（至少包含日线级别，可补充周线级别），阐述当前股价所处趋势（上升 / 下降 / 横盘）、关键技术信号（如金叉、死叉、突破、回调等），并结合成交量验证趋势有效性。</w:t>
      </w:r>
    </w:p>
    <w:p w14:paraId="2002F127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图表要求：插入关键技术分析图表（标注时间轴、价格区间、指标参数），图表需清晰可辨，并在正文中对应解读。</w:t>
      </w:r>
    </w:p>
    <w:p w14:paraId="2FB3FB71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32"/>
          <w:lang w:val="en-US" w:eastAsia="zh-CN"/>
        </w:rPr>
        <w:t>4.投资意见与风险提示</w:t>
      </w:r>
    </w:p>
    <w:p w14:paraId="104224F9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投资意见：明确给出投资评级（如 “强烈推荐”“推荐”“中性”“回避”“强烈回避”），并基于前文基本分析和技术分析给出具体依据；同时可给出目标价区间（需说明测算逻辑，如市盈率法、市净率法等）及投资期限建议。</w:t>
      </w:r>
    </w:p>
    <w:p w14:paraId="2946D5C7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风险提示：全面梳理潜在风险，至少涵盖 3 类风险，包括市场风险（如大盘波动、行业周期波动）、公司特定风险（如业绩下滑、核心技术流失、管理层变动）、政策风险（如行业监管政策变化、税收政策调整）等，需说明风险发生的可能性及对公司股价的潜在影响。</w:t>
      </w:r>
    </w:p>
    <w:p w14:paraId="6129826D">
      <w:pPr>
        <w:ind w:left="0" w:leftChars="0" w:firstLine="367" w:firstLineChars="175"/>
        <w:rPr>
          <w:rFonts w:hint="eastAsia"/>
        </w:rPr>
      </w:pPr>
    </w:p>
    <w:p w14:paraId="1FF87637">
      <w:pPr>
        <w:ind w:left="0" w:leftChars="0" w:firstLine="422" w:firstLineChars="175"/>
        <w:rPr>
          <w:rFonts w:hint="eastAsia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参考文献 / 数据来源</w:t>
      </w:r>
      <w:r>
        <w:rPr>
          <w:rFonts w:hint="eastAsia"/>
        </w:rPr>
        <w:t>：</w:t>
      </w:r>
    </w:p>
    <w:p w14:paraId="1907D8B4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注明所有引用的信息来源，包括证券交易所公告、行业研究报告、财务数据平台（如东方财富网、同花顺、Wind 等）、宏观经济统计数据官网等。</w:t>
      </w:r>
    </w:p>
    <w:p w14:paraId="1C9B5AE1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附录（可选）：可附上重要财务报表原文、技术分析图表原图、行业政策原文等补充材料。</w:t>
      </w:r>
    </w:p>
    <w:p w14:paraId="6CBF1298">
      <w:pPr>
        <w:ind w:left="0" w:leftChars="0" w:firstLine="367" w:firstLineChars="175"/>
        <w:rPr>
          <w:rFonts w:hint="eastAsia"/>
        </w:rPr>
      </w:pPr>
    </w:p>
    <w:p w14:paraId="493712CB">
      <w:pPr>
        <w:ind w:left="0" w:leftChars="0" w:firstLine="367" w:firstLineChars="175"/>
        <w:rPr>
          <w:rFonts w:hint="eastAsia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3DDDA238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字数：正文部分字数不少于 3000 字（不含图表、附录、参考文献）。</w:t>
      </w:r>
    </w:p>
    <w:p w14:paraId="437FC40A">
      <w:pPr>
        <w:ind w:left="0" w:leftChars="0" w:firstLine="420" w:firstLineChars="175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6C7FA2F3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原创性要求：报告需为考生独立完成，严禁抄袭（引用内容需注明来源，引用篇幅不得超过报告总字数的 10%）。</w:t>
      </w:r>
    </w:p>
    <w:p w14:paraId="0FC64017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数据时效性：优先使用最近 12 个月内的最新数据，财务数据以公司公开披露的年报、中报、季报为准，技术分析数据以合规证券交易软件的官方数据为准。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6806F13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 Word 文档（.doc 或.docx 格式）提交，文件命名格式为 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准考证号-</w:t>
      </w:r>
      <w:r>
        <w:rPr>
          <w:rFonts w:hint="eastAsia" w:ascii="宋体" w:hAnsi="宋体" w:eastAsia="宋体" w:cs="宋体"/>
          <w:sz w:val="24"/>
          <w:szCs w:val="24"/>
        </w:rPr>
        <w:t>考生姓名- XX 公司分析报告”（如 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010220240011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张三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贵州茅台分析报告”）。</w:t>
      </w:r>
    </w:p>
    <w:p w14:paraId="29F267F9">
      <w:pPr>
        <w:ind w:left="0" w:leftChars="0" w:firstLine="422" w:firstLineChars="175"/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</w:p>
    <w:p w14:paraId="5A2AFF25">
      <w:pPr>
        <w:ind w:left="0" w:leftChars="0" w:firstLine="420" w:firstLineChars="175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报名时</w:t>
      </w:r>
      <w:r>
        <w:rPr>
          <w:rFonts w:hint="eastAsia" w:ascii="宋体" w:hAnsi="宋体" w:eastAsia="宋体" w:cs="宋体"/>
          <w:sz w:val="24"/>
          <w:szCs w:val="24"/>
        </w:rPr>
        <w:t>提交。</w:t>
      </w:r>
    </w:p>
    <w:p w14:paraId="3AFFAC04">
      <w:pPr>
        <w:rPr>
          <w:rFonts w:hint="eastAsia"/>
        </w:rPr>
      </w:pPr>
      <w:r>
        <w:rPr>
          <w:rFonts w:hint="eastAsia"/>
        </w:rPr>
        <w:br w:type="page"/>
      </w:r>
    </w:p>
    <w:p w14:paraId="77093EF0">
      <w:pPr>
        <w:jc w:val="left"/>
        <w:rPr>
          <w:rFonts w:hint="eastAsia" w:ascii="楷体" w:hAnsi="楷体" w:eastAsia="楷体" w:cs="楷体"/>
          <w:b/>
          <w:bCs/>
          <w:color w:val="FF0000"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证券投资理论与实务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(实践) 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14654</w:t>
      </w:r>
    </w:p>
    <w:p w14:paraId="16A28400">
      <w:pPr>
        <w:jc w:val="center"/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证券投资分析报告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评价表</w:t>
      </w:r>
    </w:p>
    <w:p w14:paraId="22B5C8AC">
      <w:pPr>
        <w:widowControl w:val="0"/>
        <w:numPr>
          <w:ilvl w:val="0"/>
          <w:numId w:val="0"/>
        </w:numPr>
        <w:jc w:val="center"/>
        <w:rPr>
          <w:rFonts w:hint="eastAsia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（评阅老师填写）</w:t>
      </w:r>
    </w:p>
    <w:tbl>
      <w:tblPr>
        <w:tblStyle w:val="2"/>
        <w:tblW w:w="8778" w:type="dxa"/>
        <w:tblInd w:w="0" w:type="dxa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1370"/>
        <w:gridCol w:w="980"/>
        <w:gridCol w:w="4915"/>
        <w:gridCol w:w="745"/>
      </w:tblGrid>
      <w:tr w14:paraId="7D71D4C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tblHeader/>
        </w:trPr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6DA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-210" w:leftChars="-100" w:right="-210" w:rightChars="-10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考核</w:t>
            </w:r>
          </w:p>
          <w:p w14:paraId="3704E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-8" w:leftChars="-100" w:right="-210" w:rightChars="-100" w:hanging="202" w:hangingChars="84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356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评价维度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3A4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分值分配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DB3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评分细则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51D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得分</w:t>
            </w:r>
          </w:p>
        </w:tc>
      </w:tr>
      <w:tr w14:paraId="4FE79382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124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-210" w:leftChars="-100" w:right="-210" w:rightChars="-10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上市公司基本情况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586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信息完整性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049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4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2A1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核心要素齐全（公司概况、主营业务、股权结构等）得 4 分；缺失 1 项核心要素扣 1 分，扣完为止。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76E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FAB67B0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5F7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F2A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信息准确性与时效性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52F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6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A0A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数据真实、最新，无错误得 6 分；出现 1 处数据错误扣 2 分，数据滞后（非最近 12 个月）扣 3 分，扣完为止。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FA3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450C10E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7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EDE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-210" w:leftChars="-100" w:right="-210" w:rightChars="-10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上市公司基本分析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77A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宏观与行业分析深度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F09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10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BC2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结合宏观经济形势精准分析行业影响，清晰阐述行业发展特征与竞争格局得 10 分；分析流于表面、缺乏逻辑扣 3-5 分；未进行宏观或行业分析扣 8-10 分。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BDC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7FC6339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2D0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D5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公司财务分析专业性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BD0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FCD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核心财务指标完整，能结合行业对比分析，解读深入得 12 分；指标不全扣 3-4 分；未进行行业对比扣 2-3 分；解读错误扣 5-8 分。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01C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486F32F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7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B6E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3A8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核心竞争力与经营分析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602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4E7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精准提炼公司核心竞争力，结合经营事件分析战略规划得 8 分；分析片面扣 2-3 分；未分析核心竞争力扣 5-8 分。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274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300F092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A5C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-210" w:leftChars="-100" w:right="-210" w:rightChars="-10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上市公司技术分析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04D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分析工具运用合理性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175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10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6EC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选用 2 种及以上核心指标，配合 K 线形态分析，工具选择贴合分析目标得 10 分；仅用 1 种指标扣 4 分；工具选择不当（与分析逻辑不符）扣 5-7 分。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7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B162E74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5CF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02A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分析逻辑与趋势判断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10F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9F4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清晰阐述股价趋势、关键技术信号，结合成交量验证，判断合理得 12 分；逻辑混乱扣 4-6 分；趋势判断错误扣 7-10 分。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AEA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C6FE17D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3" w:hRule="atLeast"/>
        </w:trPr>
        <w:tc>
          <w:tcPr>
            <w:tcW w:w="7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20B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331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图表与解读匹配度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363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E0D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图表清晰，标注规范，正文解读精准对应得 8 分；图表缺失扣 4 分；图表标注不规范扣 2 分；解读与图表脱节扣 3-5 分。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B21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2AF98E4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97C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-210" w:leftChars="-100" w:right="-210" w:rightChars="-10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投资意见与风险提示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4EF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投资评级与依据有效性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3F0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15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5E1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投资评级明确，目标价测算逻辑清晰，依据前文分析充分得 15 分；评级模糊扣 3 分；目标价无测算逻辑扣 5 分；依据不充分扣 6-10 分。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CEF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8A06ABD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87B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B1D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风险提示全面性与针对性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31A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15 分</w:t>
            </w:r>
          </w:p>
        </w:tc>
        <w:tc>
          <w:tcPr>
            <w:tcW w:w="4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8BF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涵盖 3 类及以上风险，明确风险影响机制得 15 分；风险类型不足 3 类扣 4-6 分；未说明风险影响扣 5-8 分；风险提示与公司无关扣 10-12 分。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97E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5B92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778" w:type="dxa"/>
            <w:gridSpan w:val="5"/>
            <w:shd w:val="clear" w:color="auto" w:fill="auto"/>
            <w:vAlign w:val="center"/>
          </w:tcPr>
          <w:p w14:paraId="15D729E9">
            <w:pPr>
              <w:spacing w:line="360" w:lineRule="auto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 xml:space="preserve">整体评价（百分制）：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分</w:t>
            </w:r>
          </w:p>
        </w:tc>
      </w:tr>
      <w:tr w14:paraId="4578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8778" w:type="dxa"/>
            <w:gridSpan w:val="5"/>
            <w:shd w:val="clear" w:color="auto" w:fill="auto"/>
            <w:vAlign w:val="center"/>
          </w:tcPr>
          <w:p w14:paraId="425AD613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评阅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老师签名：</w:t>
            </w:r>
          </w:p>
          <w:p w14:paraId="6C6FB7A7">
            <w:pPr>
              <w:spacing w:line="360" w:lineRule="auto"/>
              <w:jc w:val="righ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年    月   日</w:t>
            </w:r>
          </w:p>
        </w:tc>
      </w:tr>
    </w:tbl>
    <w:p w14:paraId="3CE4792D">
      <w:pPr>
        <w:spacing w:line="360" w:lineRule="auto"/>
        <w:ind w:left="0" w:leftChars="0" w:firstLine="0" w:firstLineChars="0"/>
        <w:rPr>
          <w:rFonts w:hint="eastAsia" w:ascii="黑体" w:hAnsi="黑体" w:eastAsia="黑体" w:cs="黑体"/>
          <w:b/>
          <w:bCs/>
          <w:sz w:val="24"/>
          <w:lang w:eastAsia="zh-CN"/>
        </w:rPr>
      </w:pPr>
      <w:r>
        <w:rPr>
          <w:rFonts w:hint="eastAsia" w:ascii="黑体" w:hAnsi="黑体" w:eastAsia="黑体" w:cs="黑体"/>
          <w:b/>
          <w:bCs/>
          <w:sz w:val="24"/>
        </w:rPr>
        <w:t>等级评定标准</w:t>
      </w:r>
      <w:r>
        <w:rPr>
          <w:rFonts w:hint="eastAsia" w:ascii="黑体" w:hAnsi="黑体" w:eastAsia="黑体" w:cs="黑体"/>
          <w:b/>
          <w:bCs/>
          <w:sz w:val="24"/>
          <w:lang w:eastAsia="zh-CN"/>
        </w:rPr>
        <w:t>：</w:t>
      </w:r>
    </w:p>
    <w:p w14:paraId="5FAFB825">
      <w:pPr>
        <w:spacing w:line="360" w:lineRule="auto"/>
        <w:ind w:left="0" w:leftChars="0" w:firstLine="420" w:firstLineChars="175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优秀（90—100分）：完全符合各项评分要求，报告质量高，能充分体现实践价值与专业能力，具有较强的创新性与借鉴意义。</w:t>
      </w:r>
    </w:p>
    <w:p w14:paraId="2B2E8E2D">
      <w:pPr>
        <w:spacing w:line="360" w:lineRule="auto"/>
        <w:ind w:left="0" w:leftChars="0" w:firstLine="420" w:firstLineChars="175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良好（80—89分）：符合各项评分要求，报告质量较好，能体现实践价值与专业能力，部分内容具有创新性。</w:t>
      </w:r>
    </w:p>
    <w:p w14:paraId="71AF02D6">
      <w:pPr>
        <w:spacing w:line="360" w:lineRule="auto"/>
        <w:ind w:left="0" w:leftChars="0" w:firstLine="420" w:firstLineChars="175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合格（60—79分）：基本符合评分要求，报告结构完整，能完成实践基本目标，但在深度、创新性或专业性上存在不足。</w:t>
      </w:r>
    </w:p>
    <w:p w14:paraId="2F476EF8">
      <w:pPr>
        <w:spacing w:line="360" w:lineRule="auto"/>
        <w:ind w:left="0" w:leftChars="0" w:firstLine="420" w:firstLineChars="175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不合格（60分以下）：未达到基本评分要求，如结构不完整、内容虚假、字数不足、存在严重抄袭或未体现实践主题与专业特色等。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A63973"/>
    <w:rsid w:val="0C45476B"/>
    <w:rsid w:val="0F72292F"/>
    <w:rsid w:val="38A63973"/>
    <w:rsid w:val="44A50D4F"/>
    <w:rsid w:val="4849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2440</Words>
  <Characters>2584</Characters>
  <Lines>0</Lines>
  <Paragraphs>0</Paragraphs>
  <TotalTime>0</TotalTime>
  <ScaleCrop>false</ScaleCrop>
  <LinksUpToDate>false</LinksUpToDate>
  <CharactersWithSpaces>2750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2025-10-24T07:54:00Z</dcterms:created>
  <dc:creator>Shine</dc:creator>
  <cp:lastModifiedBy>Shine</cp:lastModifiedBy>
  <dcterms:modified xsi:type="dcterms:W3CDTF">2026-06-02T01:10:38Z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251AE76116A846E282E461706931F95A_11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